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11 vom 23. Februar 2011</w:t>
      </w:r>
    </w:p>
    <w:p>
      <w:r>
        <w:t>GR Gerichte, 2011-02-23, DE</w:t>
      </w:r>
    </w:p>
    <w:p>
      <w:r>
        <w:rPr>
          <w:b/>
        </w:rPr>
        <w:t xml:space="preserve">Quelle: </w:t>
      </w:r>
      <w:r>
        <w:t>https://mcp.opencaselaw.ch/entscheid/gr_gerichte_PKG_2013_11</w:t>
      </w:r>
    </w:p>
    <w:p>
      <w:r>
        <w:t>FR: GR_GERICHTE PKG 2013 11 du 23 février 2011</w:t>
      </w:r>
    </w:p>
    <w:p>
      <w:r>
        <w:t>IT: GR_GERICHTE PKG 2013 11 del 23 febbraio 2011</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PKG 2013 schwerdeführerin möglich war, entweder persönlich zu handeln oder eine andere Person mit der Wahrung ihrer Interessen zu beauftragen (vgl. Merz, a. a. O., N 22 zu Art. 148 ZPO). Die Beschwerdeführerin hätte ihr Fristwie- derherstellungsgesuch somit spätestens bis zum 25. Mai 2013 einreichen müssen. Das Wiederherstellungsgesuch vom 7. Juni 2013 erweist sich damit als verspätet. dd) Lediglich nebenbei sei noch bemerkt, dass die Beschwerdefüh- rerin nach ihren eigenen Ausführungen alleine lebt. Sie hat sich folglich am</w:t>
      </w:r>
    </w:p>
    <w:p>
      <w:r>
        <w:rPr>
          <w:b/>
        </w:rPr>
        <w:t>E. 6</w:t>
      </w:r>
    </w:p>
    <w:p>
      <w:r>
        <w:t>Mai 2013 und an den folgenden Tagen selbst um sich kümmern oder Hilfe organisieren müssen. Auch dies zeigt deutlich auf, dass die Beschwerdefüh- rerin rechtzeitig beziehungsweise früher hätte selbst handeln oder einen Vertreter bestimmen können. ee) Zusammenfassend ergibt sich, dass die von der Beschwerdefüh- rerin geltend gemachten Gründe für die Entschuldbarkeit der Säumnis nicht glaubhaft sind. Daneben ist das Fristwiederherstellungsgesuch auch zu spät erfolgt. Daher ist das Gesuch vom 7. Juni 2013 abzuweisen. Das Verfahren kann folglich seinen Fortgang nehmen, ohne dass der Beschwerdeführerin eine neue Frist zur Einreichung einer Replik eingeräumt werden müsste. ZK2 13 14 Entscheid vom 2. Dezember 2013 (Mit Urteil 4D_9/2014 vom 4. April 2014 ist das Bundesgericht auf die ge- gen diesen Entscheid erhobene Beschwerde nicht eingetreten.)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