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2010 9 vom 25. August 2009</w:t>
      </w:r>
    </w:p>
    <w:p>
      <w:r>
        <w:t>GR Gerichte, 2009-08-25, DE</w:t>
      </w:r>
    </w:p>
    <w:p>
      <w:r>
        <w:rPr>
          <w:b/>
        </w:rPr>
        <w:t xml:space="preserve">Quelle: </w:t>
      </w:r>
      <w:r>
        <w:t>https://mcp.opencaselaw.ch/entscheid/gr_gerichte_PKG_2010_9</w:t>
      </w:r>
    </w:p>
    <w:p>
      <w:r>
        <w:t>FR: GR_GERICHTE PKG 2010 9 du 25 août 2009</w:t>
      </w:r>
    </w:p>
    <w:p>
      <w:r>
        <w:t>IT: GR_GERICHTE PKG 2010 9 del 25 agosto 2009</w:t>
      </w:r>
    </w:p>
    <w:p>
      <w:pPr>
        <w:pStyle w:val="Heading2"/>
      </w:pPr>
      <w:r>
        <w:t>Regeste</w:t>
      </w:r>
    </w:p>
    <w:p>
      <w:r>
        <w:t>Praxis Kantonsgericht |</w:t>
      </w:r>
    </w:p>
    <w:p>
      <w:r>
        <w:t>Regeste: siehe PKG-Dokument\x3Cbr\x3E | java.util.HashMap/1797211028</w:t>
      </w:r>
    </w:p>
    <w:p>
      <w:pPr>
        <w:pStyle w:val="Heading2"/>
      </w:pPr>
      <w:r>
        <w:t>Erwägungen</w:t>
      </w:r>
    </w:p>
    <w:p>
      <w:r>
        <w:rPr>
          <w:b/>
        </w:rPr>
        <w:t>E. 9</w:t>
      </w:r>
    </w:p>
    <w:p>
      <w:r>
        <w:t>PKG 2010 66 neben den Forderungen der hiesigen Beschwerdegegner keine anderen voll- streckungsrechtlichen Beschlagnahmen Platz greifen. b. Im gleichen Zusammenhang macht die Beschwerdegegnerin 1 geltend, es sei das ganze Grundstück zu pfänden. Eigentumsrechtliche und güterrechtliche Qualifikation müssten nicht übereinstimmen. Gestützt auf die Beweisregel von Art. 200 Abs. 3 ZGB gelte auch der hälftige Miteigen- tumsanteil der Beschwerdeführerin, wie er vor der Gütertrennung im April 2008 bestanden habe, als Errungenschaft und hafte daher für die damals bereits bestehende Forderung der Gläubigerin gegen den Ehemann. Richtig ist daran, dass das ganze Grundstück zu pfänden ist. Falls damit angetönt werden will, die zweite Hälfte des Verwertungserlöses diene ebenso der Befriedigung der Betreibungsforderungen im hiesigen Verfahren, ist dies irrig. Übersehen wird, dass in Bezug auf die vorbestandene Miteigen- tumshälfte der Ehefrau keine Vermögensverschiebung stattgefunden hat. Vollstreckungsrechtlich gilt im Verhältnis zu Dritten grundsätzlich der Rechtsschein aus Besitz und es besteht kein Anspruch auf Anwendung von Art. 10 Abs. 1 VZG, wenn persönliche Haftung der Ehefrau nach Art. 202 ZGB behauptet wird (Walder, Kommentar SchKG 2007, N 4 zu Art. 10 VZG, mit Hinweis auf BGE 57 III 44). Eine Vollstreckung in Haftungssubstrat der Beschwerdeführerin, das von der Gütertrennung und Vermögensverschie- bung vom 22./ 24. April 2008 unberührt blieb, würde demnach eine Betrei- bung und Pfändung gegen die Beschwerdeführerin voraussetzen, was nicht gegeben ist. Insoweit ist daher die Auffassung der Vorinstanz zutreffend, dass die Beschwerdeführerin « sowieso die Hälfte vom [gesamten] Verstei- gerungserlös bekommt, da ihr bereits die Hälfte des Grundstücks zuvor gehörte». KSK 10 57 Entscheid vom 30. September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