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17 vom 1. Juli 2010</w:t>
      </w:r>
    </w:p>
    <w:p>
      <w:r>
        <w:t>GR Gerichte, 2010-07-01, DE</w:t>
      </w:r>
    </w:p>
    <w:p>
      <w:r>
        <w:rPr>
          <w:b/>
        </w:rPr>
        <w:t xml:space="preserve">Quelle: </w:t>
      </w:r>
      <w:r>
        <w:t>https://mcp.opencaselaw.ch/entscheid/gr_gerichte_PKG_2010_17</w:t>
      </w:r>
    </w:p>
    <w:p>
      <w:r>
        <w:t>FR: GR_GERICHTE PKG 2010 17 du 1 juillet 2010</w:t>
      </w:r>
    </w:p>
    <w:p>
      <w:r>
        <w:t>IT: GR_GERICHTE PKG 2010 17 del 1 luglio 2010</w:t>
      </w:r>
    </w:p>
    <w:p>
      <w:pPr>
        <w:pStyle w:val="Heading2"/>
      </w:pPr>
      <w:r>
        <w:t>Regeste</w:t>
      </w:r>
    </w:p>
    <w:p>
      <w:r>
        <w:t>Praxis Kantonsgericht |</w:t>
      </w:r>
    </w:p>
    <w:p>
      <w:r>
        <w:t>Regeste: siehe PKG-Dokument\x3Cbr\x3E | java.util.HashMap/1797211028</w:t>
      </w:r>
    </w:p>
    <w:p>
      <w:pPr>
        <w:pStyle w:val="Heading2"/>
      </w:pPr>
      <w:r>
        <w:t>Erwägungen</w:t>
      </w:r>
    </w:p>
    <w:p>
      <w:r>
        <w:rPr>
          <w:b/>
        </w:rPr>
        <w:t>E. 17</w:t>
      </w:r>
    </w:p>
    <w:p>
      <w:r>
        <w:t>PKG 2010 Soll beidem Rechnung getragen werden, muss der Rückzug des Strafantrags demnach auch die Aufhebung der vorinstanzlichen Verfügung zur Folge haben. b) Keine andere Betrachtungsweise ergibt sich aus Art. 33 Abs. 1 StGB. So lässt die Bestimmung den Rückzug des Strafantrags in zweiter In- stanz unabhängig vom Ergebnis des erstinstanzlichen Verfahrens zu. Auch im gerichtlichen Verfahren hat dabei der Rückzug die Einstellung des Verfahrens zur Folge (Christof Riedo, Basler Kommentar, N. 24 zu Art. 33 StGB mit Hin- weisen; BGE 92 IV 161 ff.). Selbst im Falle des Freispruchs in erster Instanz führt der rechtzeitige Rückzug des Strafantrags im Rechtsmittelverfahren folglich nicht nur zur Gegenstandslosigkeit des Rechtsmittelverfahrens unter Beibehaltung des vorinstanzlichen Urteils, sondern zur Einstellung des Straf- verfahrens unter Aufhebung des Freispruchs. c) Ausgehend davon ist demnach auch in dem gegen B.Y. und C.Y. ge- führten Strafverfahren eine Einstellungsverfügung zu erlassen, welche den Rückzug des Strafantrags berücksichtigt und insofern die bereits wegen man- gelndem Tatverdacht verfügte Verfahrenseinstellung ersetzt. 5. In Bezug auf die Zuständigkeit für die neu zu erlassende Ein- stellungsverfügung gilt darauf hinzuweisen, dass die strafrechtliche Be- schwerde grundsätzlich nur kassatorische Wirkung hat. Aus prozessöko- nomischen Gründen kann jedoch von diesem Grundsatz ausnahmsweise dann abgewichen werden, wenn die Verhältnisse in tatsächlicher und rechtlicher Hinsicht ohne weiteres eine Entscheidung in der Sache zulassen (W. Padrutt, Kommentar zur Strafprozessordnung des Kantons Graubünden, Vorbem. zu Art. 137 –139 N 3; PKG 1975 Nr. 61). Vorliegend führt der Rückzug des Straf- antrags nur zu einer veränderten Rechtsgrundlage für die in Ziffer 1 und 2 des vorinstanzlichen Entscheids verfügte Einstellung des Verfahrens. Diesem Umstand kann im Beschwerdeverfahren problemlos dadurch Rechnung getragen werden, dass die betreffenden Ziffern des vorinstanzlichen Ent- scheids für aufgehoben erklärt werden und das gegen B.Y. und C.Y. geführte Strafverfahren infolge Rückzug des Strafantrags eingestellt wird. Eine Rück- weisung an die Vorinstanz erübrigt sich. SK2 10 12 Verfügung vom 1. Juli 2010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