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2008 19 vom 2. Mai 2007</w:t>
      </w:r>
    </w:p>
    <w:p>
      <w:r>
        <w:t>GR Gerichte, 2007-05-02, DE</w:t>
      </w:r>
    </w:p>
    <w:p>
      <w:r>
        <w:rPr>
          <w:b/>
        </w:rPr>
        <w:t xml:space="preserve">Quelle: </w:t>
      </w:r>
      <w:r>
        <w:t>https://mcp.opencaselaw.ch/entscheid/gr_gerichte_PKG_2008_19</w:t>
      </w:r>
    </w:p>
    <w:p>
      <w:r>
        <w:t>FR: GR_GERICHTE PKG 2008 19 du 2 mai 2007</w:t>
      </w:r>
    </w:p>
    <w:p>
      <w:r>
        <w:t>IT: GR_GERICHTE PKG 2008 19 del 2 maggio 2007</w:t>
      </w:r>
    </w:p>
    <w:p>
      <w:pPr>
        <w:pStyle w:val="Heading2"/>
      </w:pPr>
      <w:r>
        <w:t>Regeste</w:t>
      </w:r>
    </w:p>
    <w:p>
      <w:r>
        <w:t>Praxis Kantonsgericht |</w:t>
      </w:r>
    </w:p>
    <w:p>
      <w:r>
        <w:t>Regeste: siehe PKG-Dokument\x3Cbr\x3E | java.util.HashMap/1797211028</w:t>
      </w:r>
    </w:p>
    <w:p>
      <w:pPr>
        <w:pStyle w:val="Heading2"/>
      </w:pPr>
      <w:r>
        <w:t>Erwägungen</w:t>
      </w:r>
    </w:p>
    <w:p>
      <w:r>
        <w:rPr>
          <w:b/>
        </w:rPr>
        <w:t>E. 16</w:t>
      </w:r>
    </w:p>
    <w:p>
      <w:r>
        <w:t>und 17. Dezember 2005 hat die Bergbahnunternehmung FS. AG (im Fol- genden FS.) die FR. (im Folgenden FR.) durch Absorptionsfusion im Sinne von Art. 3 Abs. 1 lit. a des Bundesgesetzes vom 3. Oktober 2003 über Fusion, Spaltung, Umwandlung und Vermögensübertragung (Fusionsgesetz, FusG, SR 221.301) übernommen und wurde gleichzeitig zur neuen Firma F. AG. Gemäss Ziff. 6.1 des Fusionsvertrags (Art. 13 FusG) haben die fusionieren- den Gesellschaften nach Verhandlungen und unter Berücksichtigung von vorgängig durchgeführten Einzelbewertungen der beiden Bergbahnunter- nehmungen ein Aktienumtauschverhältnis von einer (1) FS. Aktie zu fünf (5) FR. Aktien vor, beziehungsweise von 1 FS. Aktie zu 1 FR. Aktie nach ei- nem bei FS. durchzuführenden Aktiensplit von 1:5 festgelegt. Q. war vor dem Aktiensplitting Eigentümer von 980 Namenaktien der FS. AG und nach Ak- tiensplitting und Fusion Eigentümer von 4900 Namenaktien der F. AG. Mit Sühnbegehren vom 24. Februar 2006 machte Q. beim Kreisprä- sidenten A. gegen die F. AG eine Klage anhängig mit dem Rechtsbe- gehren, die Beklagte sei zu verpflichten, dem Kläger und allen übrigen Ak- tionären der vormals unter der Firma FS. AG geführten Beklagten, die ihre</w:t>
      </w:r>
    </w:p>
    <w:p>
      <w:r>
        <w:t>PKG 2008</w:t>
      </w:r>
    </w:p>
    <w:p>
      <w:r>
        <w:rPr>
          <w:b/>
        </w:rPr>
        <w:t>E. 19</w:t>
      </w:r>
    </w:p>
    <w:p>
      <w:r>
        <w:t>125 sionsprüfers abfinden und als Konsequenz dieser angeblich gesetzlich ver- ordneten Ignoranz im Resultat mit dessen Beurteilung der vorgeschlagenen Umtauschrelation zufriedengeben müsste, würde die Überprüfungsklage zum Papiertiger. Sie verlöre als Rechtsschutzinstrument ihre Daseinsbe- rechtigung. PZ 07 99 Urteil vom 16. August 2007 Das Bundesgericht hat die gegen dieses Urteil erhobene Beschwerde mit Urteil BGE 134 III 255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