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2008 16 vom 30. Juli 2007</w:t>
      </w:r>
    </w:p>
    <w:p>
      <w:r>
        <w:t>GR Gerichte, 2007-07-30, DE</w:t>
      </w:r>
    </w:p>
    <w:p>
      <w:r>
        <w:rPr>
          <w:b/>
        </w:rPr>
        <w:t xml:space="preserve">Quelle: </w:t>
      </w:r>
      <w:r>
        <w:t>https://mcp.opencaselaw.ch/entscheid/gr_gerichte_PKG_2008_16</w:t>
      </w:r>
    </w:p>
    <w:p>
      <w:r>
        <w:t>FR: GR_GERICHTE PKG 2008 16 du 30 juillet 2007</w:t>
      </w:r>
    </w:p>
    <w:p>
      <w:r>
        <w:t>IT: GR_GERICHTE PKG 2008 16 del 30 luglio 2007</w:t>
      </w:r>
    </w:p>
    <w:p>
      <w:pPr>
        <w:pStyle w:val="Heading2"/>
      </w:pPr>
      <w:r>
        <w:t>Regeste</w:t>
      </w:r>
    </w:p>
    <w:p>
      <w:r>
        <w:t>Praxis Kantonsgericht |</w:t>
      </w:r>
    </w:p>
    <w:p>
      <w:r>
        <w:t>Regeste: siehe PKG-Dokument\x3Cbr\x3E | java.util.HashMap/1797211028</w:t>
      </w:r>
    </w:p>
    <w:p>
      <w:pPr>
        <w:pStyle w:val="Heading2"/>
      </w:pPr>
      <w:r>
        <w:t>Erwägungen</w:t>
      </w:r>
    </w:p>
    <w:p>
      <w:r>
        <w:rPr>
          <w:b/>
        </w:rPr>
        <w:t>E. 16</w:t>
      </w:r>
    </w:p>
    <w:p>
      <w:r>
        <w:t>PKG 2008 nicht, zumal aus dieser Bestimmung lediglich die allgemeinen Haftungsvor- aussetzungen (Schaden, Kausalzusammenhang, Widerrechtlichkeit, Ver- schulden) abgeleitet werden, welche eine zivilrechtliche Vorwerfbarkeit be- gründen und damit eine zivilrechtliche Haftung auslösen können. Diese Haftungsvoraussetzungen müssen jedoch in Bezug auf eine konkrete Ver- haltensnorm wie beispielsweise die aus dem Grundsatz «neminem laedere» abgeleiteten Persönlichkeitsrechte von Art. 28 ZGB gegeben sein (vgl. hierzu auch den von der Staatsanwaltschaft Graubünden zitierten Entschied der Beschwerdekammer vom 12. Januar 2005 BK 04 66). Von einer zivil- rechtlichen Vorwerfbarkeit kann somit dann gesprochen werden, wenn un- ter den Voraussetzungen von Art. 41 OR gegen eine zu konkretisierende Norm verstossen wird, die direkt oder indirekt Schädigungen untersagt oder den Rechtsunterworfenen ein Schädigungen vermeidendes Verhalten vor- schreibt und gleichzeitig kein Rechtfertigungsgrund vorliegt. Indem sich die Staatsanwaltschaft Graubünden lediglich mit dem Hinweis auf Art. 41 OR begnügt hat, ist sie ihrer Begründungspflicht nicht in hinreichendem Mass nachgekommen. Mit anderen Worten ist mit der von ihr angeführten Be- gründung eine Überbindung der Verfahrenskosten auf den Angeschuldigten beziehungsweise Beschwerdeführer nach der vorstehend dargelegten bun- desgerichtlichen Rechtsprechung zu Art. 32 Abs. 1 BV und Art. 6 EMRK nicht haltbar. Fehlt es vorliegend somit am Vorwurf der Verletzung einer konkreten Verhaltensnorm, mangelt es der Kostenüberbindung an der er- forderlichen Rechtsgrundlage, so dass Ziff. 2 der angefochtenen Einstel- lungsverfügung in Gutheissung der Beschwerde aufzuheben ist. BK 07 54 Entscheid vom 12. Dezember 2007 97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