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2008 10 vom 1. Januar 1995</w:t>
      </w:r>
    </w:p>
    <w:p>
      <w:r>
        <w:t>GR Gerichte, 1995-01-01, DE</w:t>
      </w:r>
    </w:p>
    <w:p>
      <w:r>
        <w:rPr>
          <w:b/>
        </w:rPr>
        <w:t xml:space="preserve">Quelle: </w:t>
      </w:r>
      <w:r>
        <w:t>https://mcp.opencaselaw.ch/entscheid/gr_gerichte_PKG_2008_10</w:t>
      </w:r>
    </w:p>
    <w:p>
      <w:r>
        <w:t>FR: GR_GERICHTE PKG 2008 10 du 1 janvier 1995</w:t>
      </w:r>
    </w:p>
    <w:p>
      <w:r>
        <w:t>IT: GR_GERICHTE PKG 2008 10 del 1 gennaio 1995</w:t>
      </w:r>
    </w:p>
    <w:p>
      <w:pPr>
        <w:pStyle w:val="Heading2"/>
      </w:pPr>
      <w:r>
        <w:t>Regeste</w:t>
      </w:r>
    </w:p>
    <w:p>
      <w:r>
        <w:t>Praxis Kantonsgericht |</w:t>
      </w:r>
    </w:p>
    <w:p>
      <w:r>
        <w:t>Regeste: siehe PKG-Dokument\x3Cbr\x3E | java.util.HashMap/1797211028</w:t>
      </w:r>
    </w:p>
    <w:p>
      <w:pPr>
        <w:pStyle w:val="Heading2"/>
      </w:pPr>
      <w:r>
        <w:t>Erwägungen</w:t>
      </w:r>
    </w:p>
    <w:p>
      <w:r>
        <w:rPr>
          <w:b/>
        </w:rPr>
        <w:t>E. 10</w:t>
      </w:r>
    </w:p>
    <w:p>
      <w:r>
        <w:t>PKG 2008 74 bezahlt haben, wäre die Sache im Kollokationsverfahren auszutragen, was voraussetzen würde, dass die Beschwerdeführerinnen eine entsprechende Forderung angemeldet haben. Das ist jedoch nicht ersichtlich. Das wäre in- dessen auch erstaunlich, um nicht zu sagen widersprüchlich, haben sie doch der Konkursmasse für den freihändigen Erwerb der aus der Software und den Supportverträgen fliessenden Rechte ein Kaufangebot über Fr. 240 000.— un- terbreitet, was nicht nachvollziehbar wäre, wenn sie ohnehin, aus welchem Ti- tel auch immer, Anspruch darauf hätten. Die Auseinandersetzung zwischen der Masse und den Beschwerdeführerinnen als Drittansprecherinnen auf jene Lizenzgebühren, welche die Lizenznehmer der umstrittenen Software der Konkursitin/Masse schulden, aber noch nicht bezahlt haben, wäre auf dem Weg des gewöhnlichen Prätendentenprozesses auszutragen. Wenn streitig ist, wem eine Forderung zusteht, kann die Konkursmasse nicht verfügungsmässig vorgehen. Es ist Sache des Richters, zu entscheiden, wer von mehreren Prä- tendenten Gläubiger der Forderung ist. Die Konkursmasse muss allerdings nur dann gegen den Drittansprecher klagen, wenn ihr an der gerichtlichen Feststellung ihres Gläubigerrechts liegt. Ist nichts gegeben, was Gegenstand eines Aussonderungsanspruchs bilden könnte, kann die Konkursverwaltung dem Drittansprecher auch keine Klagefrist nach Art. 46 KOV setzen. Zahlt der Drittschuldner (hier die Lizenznehmer) mangels Notifikation an die Kon- kursmasse, so bleibt dem Drittansprecher (hier die Beschwerdeführerinnen) nur der Weg der Klage gegen die Masse offen, wenn er der Meinung sein sollte, die Konkursverwaltung habe durch Entgegennahme der Zahlung seine Rechte verletzt (vgl. die Beispiele bei Brügger, SchKG-Gerichtspraxis 1946–2005, Zürich 2006, N 7 ff. zu Art. 242 SchKG). dd. Als zwangsvollstreckungsrechtlich verwertbares Substrat kom- men schliesslich die so genannten Werkexemplare in Frage, wobei das ihnen zugrunde liegende Urheberrecht als solches nicht dazu gehört (vgl. Art. 16 Abs. 3 URG; de Werra, a.a.O., N 25 zu Art. 18 URG). Gegenständlich wären dies vorallem die produzierten Datenträger, welche das ausführungs- und lauffähige Programm (Objektcode) enthalten und jene, die den Quellcode enthalten. Sie stellen darüber hinaus körperliche Sachen im zivilrechtlichen Sinne dar und wären daher aus Sicht der Beschwerdeführerinnen einer Eigentumsansprache und Aussonderung grundsätzlich zugänglich (vgl. dazu Reutter, Urhebervertragsrecht, a.a.O., S. 345-347), dies allerdings nur soweit sie sich (noch) im tatsächlichen Gewahrsam der Masse befinden. Dem Kon- kursinventar kann ein entsprechender Aktivposten indessen nicht entnom- men werden und die Beschwerdeführerinnen machen auch in der hiesigen Beschwerde weder ausdrücklich noch sinngemäss geltend, das Konkursin- ventar hätte entsprechend ergänzt werden müssen. Wie bereits mehrfach dargelegt, wären sie mit einer entsprechenden Rüge aber auch verspätet. SKA 07 22 Entscheid vom 29. Oktober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