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2007 7</w:t>
      </w:r>
    </w:p>
    <w:p>
      <w:r>
        <w:t>GR Gerichte, IT</w:t>
      </w:r>
    </w:p>
    <w:p>
      <w:r>
        <w:rPr>
          <w:b/>
        </w:rPr>
        <w:t xml:space="preserve">Quelle: </w:t>
      </w:r>
      <w:r>
        <w:t>https://mcp.opencaselaw.ch/entscheid/gr_gerichte_PKG_2007_7</w:t>
      </w:r>
    </w:p>
    <w:p>
      <w:pPr>
        <w:pStyle w:val="Heading2"/>
      </w:pPr>
      <w:r>
        <w:t>Regeste</w:t>
      </w:r>
    </w:p>
    <w:p>
      <w:r>
        <w:t>Praxis Kantonsgericht |</w:t>
      </w:r>
    </w:p>
    <w:p>
      <w:r>
        <w:t>Regeste: siehe PKG-Dokument\x3Cbr\x3E | java.util.HashMap/1797211028</w:t>
      </w:r>
    </w:p>
    <w:p>
      <w:pPr>
        <w:pStyle w:val="Heading2"/>
      </w:pPr>
      <w:r>
        <w:t>Erwägungen</w:t>
      </w:r>
    </w:p>
    <w:p>
      <w:r>
        <w:rPr>
          <w:b/>
        </w:rPr>
        <w:t>E. 7</w:t>
      </w:r>
    </w:p>
    <w:p>
      <w:r>
        <w:t>PKG 2007 38 Nell’evenienza concreta non è d’importanza che la richiesta dell’attore sia stata reputata ritirata al posto d’essere stata dichiarata irricevibile, poiché anche nel caso d’irricevibilità la pretesa non poteva esser riproposta nel termine di 30 giorni ai sensi dell’art. 273 CO (il convenuto ha dato la disdetta il 24 marzo 2007, la stessa è stata contestata il 20 aprile 2007 e il 21 maggio 2007 è stato emanato il decreto di stralcio). Da quanto esposto risulta che contro il decreto di stralcio dell’autorità di conciliazione è dato il ricorso per violazione di legge. ZB 07 26 Sentenza del 27 agosto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