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2006 28 vom 14. Juni 2006</w:t>
      </w:r>
    </w:p>
    <w:p>
      <w:r>
        <w:t>GR Gerichte, 2006-06-14, DE</w:t>
      </w:r>
    </w:p>
    <w:p>
      <w:r>
        <w:rPr>
          <w:b/>
        </w:rPr>
        <w:t xml:space="preserve">Quelle: </w:t>
      </w:r>
      <w:r>
        <w:t>https://mcp.opencaselaw.ch/entscheid/gr_gerichte_PKG_2006_28</w:t>
      </w:r>
    </w:p>
    <w:p>
      <w:r>
        <w:t>FR: GR_GERICHTE PKG 2006 28 du 14 juin 2006</w:t>
      </w:r>
    </w:p>
    <w:p>
      <w:r>
        <w:t>IT: GR_GERICHTE PKG 2006 28 del 14 giugno 2006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32</w:t>
      </w:r>
    </w:p>
    <w:p>
      <w:r>
        <w:t>umbruch_2006.qxp 12.10.2007 14:32 Uhr Seite 162 28 PKG 2006 BK 06 26 Entscheid vom 14. Juni 2006 Das Bundesgericht hat die gegen diesen Entscheid erhobene staatsrechtli- che Beschwerde mit Urteil 1P.673/2006 vom 30. Januar 2007 abgewiesen. 162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