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GR_GERICHTE PKG 2004 7 vom 7. Januar 2004</w:t>
      </w:r>
    </w:p>
    <w:p>
      <w:r>
        <w:t>GR Gerichte, 2004-01-07, DE</w:t>
      </w:r>
    </w:p>
    <w:p>
      <w:r>
        <w:rPr>
          <w:b/>
        </w:rPr>
        <w:t xml:space="preserve">Quelle: </w:t>
      </w:r>
      <w:r>
        <w:t>https://mcp.opencaselaw.ch/entscheid/gr_gerichte_PKG_2004_7</w:t>
      </w:r>
    </w:p>
    <w:p>
      <w:r>
        <w:t>FR: GR_GERICHTE PKG 2004 7 du 7 janvier 2004</w:t>
      </w:r>
    </w:p>
    <w:p>
      <w:r>
        <w:t>IT: GR_GERICHTE PKG 2004 7 del 7 gennaio 2004</w:t>
      </w:r>
    </w:p>
    <w:p>
      <w:pPr>
        <w:pStyle w:val="Heading2"/>
      </w:pPr>
      <w:r>
        <w:t>Regeste</w:t>
      </w:r>
    </w:p>
    <w:p>
      <w:r>
        <w:t>Praxis Kantonsgericht |</w:t>
      </w:r>
    </w:p>
    <w:p>
      <w:r>
        <w:t>Regeste: siehe PKG-Dokument\x3Cbr\x3E | java.util.HashMap/1797211028</w:t>
      </w:r>
    </w:p>
    <w:p>
      <w:pPr>
        <w:pStyle w:val="Heading2"/>
      </w:pPr>
      <w:r>
        <w:t>Erwägungen</w:t>
      </w:r>
    </w:p>
    <w:p>
      <w:r>
        <w:rPr>
          <w:b/>
        </w:rPr>
        <w:t>E. 7</w:t>
      </w:r>
    </w:p>
    <w:p>
      <w:r>
        <w:t>55 die sachlichen Zuständigkeiten im gerichtlichen SchKG-Verfahren, sondern nur das dabei einzuhaltende Verfahren teilweise regelt. Die sachlichen Zu- ständigkeiten des Bezirksgerichtspräsidenten als Vollstreckungsrichter und die Weiterzugsmöglichkeiten sind in Art. 15 und 17 GVVzSchKG geregelt. Gemäss Art. 15 Abs. 1 Ziff. 3 GVVzSchKG ist der Bezirksgerichtspräsident für die Klage nach Art. 85 SchKG – ein gerichtliches Zwischenverfahren in der Betreibung – zuständig. Der Kantonsgerichtsausschuss beurteilt als Rechtsmittelinstanz Beschwerden gemäss Art. 15 der Verordnung, in denen das Bundesrecht einen Weiterzug vorsieht (Art. 17 Abs. 1 Ziff. 1 GVVzSchKG). Das Bundesrecht schreibt kein kantonales Rechtsmittel ge- gen den Entscheid gemäss Art. 85 SchKG vor (Bodmer, a.a.O., N 34). Der Kantonsgerichtsausschuss beurteilt sodann Beschwerden gegen Entscheide gemäss Art. 15 Abs. 1 Ziffer 10, 11, 12 und 17 sowie Abs. 2 Ziffer 1 und 3 der Verordnung. In dieser Aufzählung fehlt Art. 15 Abs. 1 Ziff. 3 GVVzSchKG. Die Beschwerde an den Kantonsgerichtsausschuss steht folglich nicht zur Verfügung. Insoweit die Vorinstanz die auf Art. 85 SchKG gestützte Klage abge- wiesen hat, kann folglich auf die Beschwerde von H. nicht eingetreten wer- den. ZB 04 15 Urteil vom 27. April 2004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