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2004 5 vom 27. Juni 2001</w:t>
      </w:r>
    </w:p>
    <w:p>
      <w:r>
        <w:t>GR Gerichte, 2001-06-27, DE</w:t>
      </w:r>
    </w:p>
    <w:p>
      <w:r>
        <w:rPr>
          <w:b/>
        </w:rPr>
        <w:t xml:space="preserve">Quelle: </w:t>
      </w:r>
      <w:r>
        <w:t>https://mcp.opencaselaw.ch/entscheid/gr_gerichte_PKG_2004_5</w:t>
      </w:r>
    </w:p>
    <w:p>
      <w:r>
        <w:t>FR: GR_GERICHTE PKG 2004 5 du 27 juin 2001</w:t>
      </w:r>
    </w:p>
    <w:p>
      <w:r>
        <w:t>IT: GR_GERICHTE PKG 2004 5 del 27 giugno 2001</w:t>
      </w:r>
    </w:p>
    <w:p>
      <w:pPr>
        <w:pStyle w:val="Heading2"/>
      </w:pPr>
      <w:r>
        <w:t>Regeste</w:t>
      </w:r>
    </w:p>
    <w:p>
      <w:r>
        <w:t>Praxis Kantonsgericht |</w:t>
      </w:r>
    </w:p>
    <w:p>
      <w:r>
        <w:t>Regeste: siehe PKG-Dokument\x3Cbr\x3E | java.util.HashMap/1797211028</w:t>
      </w:r>
    </w:p>
    <w:p>
      <w:pPr>
        <w:pStyle w:val="Heading2"/>
      </w:pPr>
      <w:r>
        <w:t>Erwägungen</w:t>
      </w:r>
    </w:p>
    <w:p>
      <w:r>
        <w:rPr>
          <w:b/>
        </w:rPr>
        <w:t>E. 5</w:t>
      </w:r>
    </w:p>
    <w:p>
      <w:r>
        <w:t>33 stellte Antrag auf Abänderung der Feststellungsklage in eine Rückforde- rungsklage ist demnach weder darauf zurückzuführen, dass er in einen Pro- zess, auf dessen Fortsetzung ein gesetzlicher Anspruch besteht, eintrat, noch kann er für sich in Anspruch nehmen, dass das Gesetz ihm Anrecht auf Fort- setzung des Verfahrens gab, noch wäre es ihm – ohne eine Klageänderung – verunmöglicht worden, die Rückforderungsklage anhängig zu machen. Ent- sprechend lässt sich auch nicht zur Feststellung gelangen, die Klageänderung müsse zur Vermeidung einer rechtswidrigen Einschränkung in der Anwen- dung des Bundesrechts zugelassen werden. Ebensowenig sind andere Um- stände ersichtlich, welche die Beachtung des Klageänderungsverbots von Bundesrechts wegen in Frage stellen würden. Ob und inwiefern dem Betrie- benen der Wechsel von der Feststellungs- zur Rückforderungsklage zu ge- statten ist, bestimmt sich ausschliesslich nach dem kantonalen Prozessrecht (vgl. B. Bodmer, a.a.O., N. 10 zu Art. 85a SchKG mit Hinweisen; Jürgen Brön- nimann, Neuerungen bei ausgewählten Klagen des SchKG, in: ZSR 1996 S. 220), weshalb im Kanton Graubünden aufgrund der Fixationswirkung der anhängig gemachten Klage ein Wechsel zur Rückforderungsklage unzulässig ist (so ausdrücklich: Luca Tenchio, Feststellungsklagen und Feststellungs- prozess nach Art. 85a SchKG, 1999, S. 116). Der Berufungskläger hätte seine Rückforderungsklage somit ordentlich beim Vermittler anhängig machen müssen. e) Daran ändert auch nichts, dass die Beklagte sich nur insoweit zur Wehr setzte, als die Klageänderung gleichzeitig auch zu einer betragsmässi- gen Klageerweiterung führt. Die ordnungsgemässe Anhängigmachung und Vermittlung der Klage stellt eine Prozessvoraussetzung für das nachfol- gende gerichtliche Verfahren dar (PKG 2002 Nr. 5, 1999 Nr. 15, 1996 Nr. 19, 1995 Nr. 2, 1995 Nr. 3). Als solche ist sie von Amtes wegen – unabhängig von den Parteianträgen – zu prüfen. Fehlt sie, darf nicht zur Sache verhandelt werden und es darf kein Sachurteil gefällt werden (PKG 1999 Nr. 15, 1990 Nr. 5). Es steht demnach weder im Belieben der Parteien, darüber zu ent- scheiden, ob sie aus nicht weiter relevanten prozessökonomischen Gründen dem Gericht in Umgehung des Vermittlungsobligatoriums ein geändertes Klagebegehren zur Beurteilung vorlegen wollen, noch steht es dem Gericht zu, sich aus denselben unzulässigen Überlegungen über eine Verletzung des Vermittlungsobligatoriums hinwegzusetzen und das Begehren zu beurteilen (vgl. dazu auch PKG 1996 Nr. 19). Erweist sich die vorliegende Klageände- rung als unzulässig, und darf zur Sache wegen der Missachtung des Vermitt- lungsobligatoriums nicht verhandelt werden, ist auf die Klage in Aufhebung des vorinstanzlichen Urteils nicht einzutreten. ZF 03 34 Urteil vom 3. Februar 2004 Die gegen dieses Urteil erhobene staatsrechtliche Beschwerde hat das Bun- desgericht mit Urteil 5P.241/2004 vom 23. September 2004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