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2004 22</w:t>
      </w:r>
    </w:p>
    <w:p>
      <w:r>
        <w:t>GR Gerichte, DE</w:t>
      </w:r>
    </w:p>
    <w:p>
      <w:r>
        <w:rPr>
          <w:b/>
        </w:rPr>
        <w:t xml:space="preserve">Quelle: </w:t>
      </w:r>
      <w:r>
        <w:t>https://mcp.opencaselaw.ch/entscheid/gr_gerichte_PKG_2004_22</w:t>
      </w:r>
    </w:p>
    <w:p>
      <w:pPr>
        <w:pStyle w:val="Heading2"/>
      </w:pPr>
      <w:r>
        <w:t>Regeste</w:t>
      </w:r>
    </w:p>
    <w:p>
      <w:r>
        <w:t>Praxis Kantonsgericht |</w:t>
      </w:r>
    </w:p>
    <w:p>
      <w:r>
        <w:t>Regeste: siehe PKG-Dokument\x3Cbr\x3E | java.util.HashMap/1797211028</w:t>
      </w:r>
    </w:p>
    <w:p>
      <w:pPr>
        <w:pStyle w:val="Heading2"/>
      </w:pPr>
      <w:r>
        <w:t>Erwägungen</w:t>
      </w:r>
    </w:p>
    <w:p>
      <w:r>
        <w:rPr>
          <w:b/>
        </w:rPr>
        <w:t>E. 22</w:t>
      </w:r>
    </w:p>
    <w:p>
      <w:r>
        <w:t>PKG 2004 152 schätzen. Er hat daher ein legitimes Interesse an der Prüfung der Sachver- halte durch eine Sonderprüferin oder einen Sonderprüfer. Die Tatsache, dass Z. einen bedeutenden Teil der Aktien der Rekurrentin besitzt, lässt auch darauf schliessen, dass es ihm nicht darum gehen kann, die Gesellschaft mit kostspieligen Verfahren zu schädigen, würde er damit doch nicht nur seine Familienangehörigen, sondern auch sich selbst benachteiligen. Dafür, dass Z. die Informationen anderweitig verwenden wollte oder könnte, gibt es keine Anhaltspunkte. Die Parteien haben Verhandlungen über eine ver- gleichsweise Bereinigung der familieninternen Differenzen zwischen den beiden Mehrheitsaktionären und dem Minderheitsaktionär Z. geführt. Ge- genstand dieser Verhandlungen war einmal die Wohnsituation von Z. (vgl. Ordner 3, Beilage 4). Aktenkundig ist weiter, dass dieser am 12. Juli 2002, also fast ein Jahr bevor er ein Gesuch um Anordnung einer Sonderprüfung stellen liess, eine Vereinbarung für eine umfassende Regelung für die «Mit- glieder der Eigentümerfamilie» vorlegte (Ordner 3, Beilage 24). Dieser Ver- einbarungsentwurf, welcher von der A. AG umgehend zurückgewiesen wurde (Ordner 3, Beilage 25), geht von einer Gleichbehandlung der drei Fa- milienmitglieder durch die A. AG aus und sieht neben Informations- und Mitwirkungsrechten verschiedene Privilegien, namentlich Beraterverträge, ein Wohnrecht, weitere Rechte und Zahlungen bis zu 2,4 Mio. Franken aus den Einnahmen des «F.» vor. Wieweit diese Forderungen berechtigt sind, braucht im vorliegenden Verfahren nicht geprüft zu werden. Die Tatsache, dass Z. diese Forderungen, welche bei einer vorläufigen Würdigung als hoch erscheinen, im Rahmen von Verhandlungen erhoben hat, reicht nach der Auffassung des Kantonsgerichtspräsidenten jedenfalls nicht aus, um das Ge- such um Anordnung einer Sonderprüfung als rechtsmissbräuchlich erschei- nen zu lassen. Wohl liess Z. die A. AG nach der Zurückweisung des Ver- gleichsvorschlags wissen, dass er seine Forderungen klageweise durchsetzen wolle (Ordner 3, Beilagen 28, 29 der Gesuchsgegnerin). Im Hinblick auf die Anordnung einer Sonderprüfung geriet die Gesellschaft dadurch aber nicht in eine Zwangslage. Das vorliegende Verfahren hätte vielmehr verhindert werden können, wenn Z. die verlangten Informationen rechtzeitig erteilt worden wären. Dasselbe gilt für das Angebot, die Aktien der Mehrheitsak- tionäre zu erwerben, auch wenn es zeitgleich mit einem Informationsbegeh- ren gestellt worden ist (Ordner 3, Beilage 17). Bezüglich des Angebots vom</w:t>
      </w:r>
    </w:p>
    <w:p>
      <w:r>
        <w:rPr>
          <w:b/>
        </w:rPr>
        <w:t>E. 24</w:t>
      </w:r>
    </w:p>
    <w:p>
      <w:r>
        <w:t>Januar 2003 kommt hinzu, dass umstritten ist, von wem die Initiative zu diesem Schreiben vom 24. Januar 2003 ausging (Ordner 3, Beilage 37; Re- kursantwort S. 23, Ziff. 43 und Beilage 3 zur Rekursantwort). Ein Preis für den Aktienerwerb stand zudem noch nicht zur Diskussion. Den Kauf der Aktien sowie den Rückzug der Informationsbegehren und des Antrages auf Sonderprüfung machte Z. vom Ergebnis einer Due Dilligence – Prüfung der Gesellschaft abhängig. Vorgeschlagen wurde unter anderem auch, das B. und</w:t>
      </w:r>
    </w:p>
    <w:p>
      <w:r>
        <w:t>PKG 2004 22 153 C. ihre Repräsentationsfunktionen weiterhin ausüben würden und ein ver- tragliches Wohnrecht zu vereinbaren wäre (Ordner 3, Beilage 37 der Ge- suchsgegnerin). Der gesamte Inhalt deutet eher darauf hin, dass der Erwerb der Aktien als Möglichkeit gesehen wurde, die anhaltenden Familienzwi- stigkeiten einvernehmlich zu beenden. Zusammengefasst ergibt sich, dass Z. ein Interesse an der Klärung aller gemäss der von der Vorinstanz zugelassenen Fragen glaubhaft gemacht hat. Zwar kann nicht völlig ausgeschlossen, dass er mit diesem Gesuch auch einen gewissen Druck im Hinblick auf seine weitergehenden Forderungen und eine allfällige Übernahme der Aktien ausüben wollte. Dass sachfremde Ziele die legitimen Interessen von Z. überwiegen würden, erscheint auf- grund der genannten Indizien aber wenig wahrscheinlich. Sie reichen jedenfalls nicht aus, um die hohe Schwelle für die Verneinung eines Rechtsschutzinteresses zu überwinden. Damit wurde die materielle Voraus- setzung der Erforderlichkeit der Sonderprüfung ausreichend glaubhaft ge- macht. 11. a) Der Anspruch Einsetzung eines Sonderprüfers gemäss Art. 697a Abs. 1 OR ist subsidiär zum Auskunfts- und Einsichtsrecht nach Art. 697 OR. Das Sonderprüfungsbegehren muss also thematisch vom vorgängi- gen Auskunfts- und Einsichtsbegehren gedeckt sein. Wie hoch die Anforde- rungen an die thematische Identität anzusetzen sind, ist in der Lehre um- stritten. Während Casutt (a.a.O., S. 72), dafürhält, dass der Antrag auf Durchführung einer Sonderprüfung denselben Gegenstand oder Fragekom- plex haben muss wie das Auskunftsbegehren, genügt es für Böckli (a.a.O, S. 991 Rz 1866), wenn der antragstellende Aktionär den Verwaltungsrat im Wesentlichen zum gleichen Gegenstand, auf den das Gesuch um Sonderprü- fung abzielt, um Auskunft oder Einsicht ersucht hat. Noch offener formuliert Kunz (Zur Subsidiarität der Sonderprüfung, SJZ 92/1996, S. 3). Für ihn muss der Antrag auf Sonderprüfung zwar einen gewissen Konnex haben, darf in- haltlich aber auch weiter gefasst werden. Er begründet dies damit, dass die vom Verwaltungsrat erteilten Informationen neue Aspekte offenbaren oder zusätzliche Überlegungen und Verdachtsmomente begründen können. Diesfalls scheine es künstlich, den oder die Antragsteller vorgängig zum GV- Antrag auf Sonderprüfung, sozusagen in einer «Ping Pong-Diskussion» mit dem Verwaltungsrat – noch einmal auf Art. 697 OR verweisen zu wollen, be- vor der Antrag auf Sonderprüfung zugelassen würde (a.a.O.). Casutt (a.a.O., Diss., S. 18) und von Greyerz (Aktionärsschutz im neuen Aktienrecht, ZBJV 120/1984, S. 453) weisen schliesslich darauf hin, dass der Aktionär oft gar nicht sinnvoll wird fragen können, weil er die hierfür notwendigen Anhalts- punkte nicht kennt. Das Bundesgericht hat die Literatur in BGE 123 II 261ff. so zusammengefasst, ohne näher dazu Stellung zu nehmen. Es hat lediglich festgehalten, dass der Verwaltungsrat durch das vorgängige Auskunfts- und</w:t>
      </w:r>
    </w:p>
    <w:p>
      <w:r>
        <w:t>22 PKG 2004 154 Einsichtsbegehren Gelegenheit erhalten solle, das Informationsbedürfnis der Aktionärinnen und Aktionäre von sich aus zu befriedigen, bevor das mit Aufwand und Umtrieben verbundene Verfahren eingeleitet werde. Massge- bend für die thematische Begrenzung der Zulässigkeit des Sonderprüfungs- begehrens sei daher das Informationsbedürfnis der antragstellenden Ak- tionäre, wie es der Verwaltungsrat nach Treu und Glauben erkennen musste. Dabei dürfe sich der Verwaltungsrat nicht hinter einer wortklauberischen Auslegung verschanzen. Auf der anderen Seite sei es auch den Antragstel- lenden zuzumuten, bei der Formulierung ihres Auskunfts- oder Einsichtsbe- gehren eine gewisse Sorgfalt aufzuwenden und so klar, wie es ihnen auf- grund ihres Kenntnisstandes möglich sei, zum Ausdruck zu bringen, worüber sie weiteren Aufschluss zu erhalten wünschten (BGE 123 III 265). b) Z. stellte im Gesuch um Einsetzung eines Sonderprüfers (Ordner 1, Beilage 1) Fragen zu drei Themenbereichen, die er mit «Verdeckte Ge- winnausschüttungen», «Bauprojekt E.» und «Verkauf Grundstück an die Baugesellschaft D.» überschrieb. Nachdem die Vorinstanz einen Teil der Fra- gen im Zusammenhang mit dem Liegenschaftenverkauf nicht zugelassen hat und der Rekursgegner die Frage nach der in diesem Zusammenhang be- zahlten Kommission zurückzog, da sie in der Zwischenzeit beantwortet war (vgl. vorne E. 9b)) verbleiben die Fragen zur behaupteten verdeckten Ge- winnausschüttung einerseits sowie die Frage nach der Finanzierung des Pro- jektes E. und nach den in diesem Zusammenhang bezahlten Beträgen und Honoraren an Berater und Beauftragte andererseits. Zu diesen Fragekom- plexen hat Z. anlässlich der ausserordentlichen Generalversammlung Aus- kunft verlangt (Ordner 2, Gesuchsbeilage 5, Protokoll der ausserordent- lichen Generalversammlung vom 20. Februar 2003, insbesondere Ziff. 1, S. 4 (Zusammensetzung des Verwaltungsaufwandes), Ziff. 11 S. 9 (Beizug exter- ner Berater), Ziff. 16, S. 10 (vom Hause übernommene Kosten), Ziff. 23 S. 12 (Rechtskosten der Gesellschaft), Ziff. 12 S. 16 (Stand Projekt E.), Ziff. 1–4 S. 17 (Wohnung, Leistungen für Hausangestellte etc. im Zürcher Domizil, an- dere geldwerte Leistungen, Beraterverträge), Ziff. 1 und 2, S. 18 (Stellung von Rechtsanwalt Dr. iur T.). Er gab sämtliche Fragen zu Protokoll (Ordner 2, Gesuchsbeilage 5, Gesuchsbeilagen 9 und 10). Dass Darstellung und Fra- gestellung im Auskunftsbegehren und im Sonderprüfungsgesuch nicht voll- ständig deckungsgleich sind, ergibt sich daraus, dass die an der Versammlung beziehungsweise mit dem Protokoll erteilten Auskünfte einerseits teilweise neue Aspekte eröffneten, andererseits fielen gewisse Fragen, da ausreichend beantwortet, dahin. Im Einzelnen ergibt sich folgendes: Z. hatte eine detaillierte Begründung und Aufgliederung des Verwal- tungsaufwandes gemäss Jahresrechnung 2000/2001 verlangt. Im Protokoll (Ordner 2, Gesuchsbeilage 5, S. 4 Ziff. A.1) wurde der Aufwand zwar in ver- schiedene Positionen gegliedert. Es blieben aber die beträchtlichen Auf-</w:t>
      </w:r>
    </w:p>
    <w:p>
      <w:r>
        <w:t>PKG 2004 22 155 wandpositionen «Diverses Verwaltung» von 543 000.– und «Übriger Auf- wand und Verwaltungsrat» von Fr. 1226 000.–. Eine nähere Aufschlüsselung und/oder eine Begründung wurde dazu nicht bekannt gegeben, obwohl dies verlangt worden war. Erst diese neue Aufstellung ermöglichte die Frage nach einer detaillierten Aufgliederung dieser Aufwandpositionen und den dazugehörigen Fragen, ob darin neben den Verwaltungsratshonoraren noch weitere Kosten von und Leistungen an B. und C., an andere Verwaltungsräte oder an ihnen nahestehende Personen enthalten seien. In der Stellung- nahme zum Sonderprüfungsgesuch reichte die Rekurrentin eine Auflistung der Positionen «Administration &amp; General» und «Owner’s Expenses» ein (Ordner 1, Beilage 6, S. 36, Ordner 3, Beilagen 58 und 59). Die darin enthal- tenen Angaben betreffend die Löhne von B. und C. und die Verwaltungs- ratshonorare stimmen nicht überein mit den Angaben im Protokoll (Ordner 2, Gesuchsbeilage 5, Ziff. C. 4, S. 18). Im Rekurs legte die A. AG die an B. und C. bezahlten Honorare und Verwaltungsratshonorare schliesslich offen, so dass sich die entsprechende Frage erübrigte. Zur Zusammenstellung «Ow- ner’s Expenses» (Ordner 3, Beilage 59) wurde im Rekurs zusätzlich ausge- führt, bei der Position VR-Honorare inkl. Sozialleistungen von Fr. 100 000.– habe es sich lediglich um Rückstellungen gehandelt. Indem Z. an der Gene- ralversammlung eine detaillierte Begründung und Aufgliederung des Ver- waltungsaufwandes gemäss Jahresrechnung 2000/2001 verlangt hatte, hatte er den Rahmen dieses Auskunftbegehren angegeben. Aufgrund der Infor- mationen, welche er erhalten hatte, stellte er detailliertere Fragen dazu. Der Grundsatz der Subsidiarität wurde in diesem Punkt damit gewahrt. Ange- sichts der noch im Verfahren nachgeschobenen neuen und teils unterschied- lichen Auskünfte zu Gehalt und Honorarzahlungen konnte Z. begründete Zweifel an der Vollständigkeit und Richtigkeit der Antworten der Gesell- schaft haben (vgl. S. 11, Ziff. 19 der Rekursantwort). Anlässlich der ausserordentlichen Generalversammlung stellte Z. unter C. 4 folgende Frage: «Bestehen zwischen der Gesellschaft und einzel- nen Aktionären Verträge, wie beispielsweise Beraterverträge und, falls ja, wie werden laut diesen Verträgen die Aufgaben umschrieben. Welche Ent- schädigungen beziehen die Aktionäre daraus?». Wie bereits die Vorinstanz zu Recht ausgeführt hat, zielt die Frage nach dem vertraglichen Leistungs- bereich der Hauptaktionäre auch auf die von diesen zu erbringende Leis- tung ab. Sie hat somit im Wesentlichen denselben Gegenstand wie die im Sonderprüfungsgesuch gestellte Frage, welche Leistungen die Aktonäre B. und C. für die Gesellschaft aufgrund ihrer Arbeits- und oder Beraterverträge erbringen würden. Die Gesellschaft musste jedenfalls erkennen, dass es dem Rekursgegner um die Angemessenheit der Bezüge von B. und C. ging. Das Erfordernis der Subsidiarität ist damit erfüllt. Die A. AG führte anlässlich der Generalversammlung gleichwohl lediglich aus, dass abgesehen von den</w:t>
      </w:r>
    </w:p>
    <w:p>
      <w:r>
        <w:t>22 PKG 2004 156 Arbeitsverträgen keine weiteren Arbeits- und Beraterverträge existieren würden. Auch mit Z. sei ein entsprechender Arbeitsvertrag abgeschlossen worden, der aber habe gekündigt werden müssen, weil daraus kein ange- messener Nutzen resultiert habe (Ordner 2, Beilage 5, S. 17 C. 4). Mit diesem Verweis auf einen früheren Arbeitsvertrag mit Z. ist die Frage nach den ver- traglich vereinbarten Leistungen und dem hierfür entrichteten Entgelt nicht zweifelsfrei beantwortet. Z. wird aufgrund seiner Anwesenheit im Hotel, sei- ner persönlichen Beziehungen als Familienmitglied und seiner Stellung als ehemaliger Arbeitnehmer gewisse Kenntnisse über die Tätigkeit von B. und C. haben. Dass er weiss, welche vertraglichen Leistungen sie zu welchen ver- traglichen Bedingungen erbringen, behauptet auch die Rekurrentin nicht. Erst in ihrer Rekursschrift macht die A. AG detaillierte Angaben zu den Aufgaben der beiden Hauptaktionäre (S. 28 ff.). Z. stellt diese Darstellung in Frage (Rekursantwort S. 12 f.). Auch in diesem Punkt lässt die Vorgehens- weise der Gesellschaft, Antworten erst zu erteilen, nachdem die Sonderprü- fung im erstinstanzlichen Verfahren angeordnet wurde, die Zweifel des Rekursgegners an der Richtigkeit und Vollständigkeit der Antworten der Gesellschaft als berechtigt erscheinen. Wie auch die A. AG anerkennt, wurde die Frage nach den Kosten, welche in den vergangenen drei Jahren im Zusammenhang mit den Ak- tionären B. und C. vom Hause übernommen wurden, anlässlich der ausseror- dentlichen Generalversammlung gestellt. Dazu wurde ausgeführt, dass diese Ausgaben nicht verfügbar seien. Sie würden sich im Rahmen des üblichen zugunsten von Stammgästen (Repräsentationsspesen) und Familienmitglie- dern bewegen (Ordner 2, Beilage 5, S. 10 zu 16). Im Zusammenhang mit der Beantwortung der Frage nach der buchhalterischen Erfassung unentgelt- licher Leistungen (sogenannten «Perks») gab die Gesellschaft weiter an, dass keine konsequente Erfassung der Leistungen an die Familienmitglieder erfolge, zum Teil erfolge eine Erfassung zum Selbstkostenpreis. Die Umfang dieser Leistungen sei jedoch sehr beschränkt. Als Grössenordnung wurde für das Geschäftsjahr 2001/2001 ein Betrag von Fr. 58 000.– genannt. Damit wurde die konkrete Frage nach den vom Hause übernommenen Kosten der letzten drei Jahre nur sehr vage beantwortet, obwohl Z. sein Auskunftsrecht diesbezüglich unbestrittenermassen geltend gemacht hat. Es liegt an ihm, zu entscheiden, ob er sich mit dieser Auskunft begnügen will. Anlässlich der Generalversammlung ersuchte Z. um eine detaillierte Aufgliederung der Rechtskosten der Gesellschaft in den Jahren 1999, 2000, 2001 und 2002. Hätte die A. AG eine solche detaillierte Aufgliederung ge- macht, hätte Z. ersehen können, ob darin allenfalls auch Rechtskosten ent- halten waren, welche für die beiden Hauptaktionäre als Privatpersonen ge- macht wurden. Diese im Sonderprüfungsgesuch gestellte Frage war somit in der ersten Frage enthalten. Die Gesellschaft gab anlässlich der Generalver-</w:t>
      </w:r>
    </w:p>
    <w:p>
      <w:r>
        <w:t>PKG 2004 22 157 sammlung aber nur den Totalbetrag der Rechtskosten in den fraglichen Jahren bekannt (Ordner 2, Beilage 5, S. 12, Ziff. 23). Im erstinstanzlichen Verfahren führte sie dazu dann aus, dass die im Protokoll ausgewiesenen Beträge nur die Rechtskosten der Gesellschaft beträfen und private Rechts- beratung für B. und C. darin nicht enthalten seien (vgl. Rekurs, S. 32). Da die verlangte Aufgliederung unterblieb, konnte Z. vernünftigerweise Anlass ha- ben, an der Antwort des Verwaltungsrates zu zweifeln. Anlässlich der Generalversammlung hatte Z. die Frage gestellt, wie sich der Umstand erkläre, dass der gleiche Rechtsvertreter die Interessen der Gesellschaft und deren Hauptaktionäre vertrete. Die Frage, ob Dr. T. sowohl die A. AG wie auch die beiden Hauptaktionäre in rechtlichen Fragen ver- trete, stimmt damit im Wesentlichen überein. Die A. AG bestätigte in ihrer Antwort, dass Dr. T. die Interessen der A. AG im Verhältnis zu Dritten (etwa I. oder Mieter) vertrete. Weiter führte sie aus, der Anwalt müsse daher selbstverständlich mit B. und C. als deren Hauptaktionären und Verwal- tungsräten kommunizieren. Von einer eigentlichen Vertretung von B. und C. gegenüber der Aktiengesellschaft könne diesbezüglich keine Rede sein. Zu- dem seien B. und C. als Mehrheitsaktionäre bis zu einem gewissen Grad auch die Hautpvertreter der Gesellschaft (Ordner 2, Beilage 5, S. 18, Ziff. D 2). Damit hat sie die Frage nicht derart klar und umfassend beantwortet, wie dies die Rekurrentin geltend macht. Den Entscheid, ob er sich mit der Aus- kunft zufrieden geben will, hat der Aktionär zu treffen. Das Erfordernis der Subsidiarität ist auch hier erfüllt. Anlässlich der Generalversammlung wurde die Frage gestellt, wie sich die Beraterhonorare der externen Berater der letzten vier Jahre (quanti- tativ und qualitativ) gliedern. Die im Rahmen der Sonderprüfung aufgewor- fene Frage, ob externe Berater auf Kosten der Gesuchsgegnerin Leistungen für Aktionäre und Verwaltungsräte, insbesondere für B. und C. erbracht ha- ben, hätte der verlangten detaillierten Aufstellung der Beraterhonorare ent- nommen werden können. Die Frage betrifft somit im Wesentlichen densel- ben Gegenstand. Die A. AG hat dazu nur sehr allgemein geantwortet, indem sie ausführte, es seien wenige externe Berater zugezogen worden, deren Mandate sich auf das Verhältnis zu Drittpersonen bezogen hätten (Ordner 2, Beilage 5, S. 9, Ziff. 11). Im erstinstanzlichen Verfahren ergänzte sie, ohne im übrigen nähere Auskünfte zu erteilen, dass externe Berater nicht auf Kos- ten der Gesuchsgegnerin Leistungen für Aktionäre und Verwaltungsräte in privaten Angelegenheiten erbracht hätten. Da auch hier die ursprünglich verlangte Aufgliederung unterblieb, kann nicht beanstandet werden, dass der Aktionär die Auskunft überprüfen lassen will. Er bemängelt denn auch, dass namentlich der Grund für die Zahlung von Fr. 205 567.40 an den Ver- waltungsratspräsidenten Dr. Q. im Geschäftsjahr 2000/2001 sowie die Zah- lung von Fr. 140 190.10 an die Anwaltskanzlei W. offen geblieben sei (Re-</w:t>
      </w:r>
    </w:p>
    <w:p>
      <w:r>
        <w:t>22 PKG 2004 158 kursantwort S. 15, Rz. 26; Ordner 3, Beilage 59 zur Stellungnahme). Ho- norare an externe Beraterinnen und Berater, in der Regel qualifizierte Fach- personen, können, wie obige Zahlen zeigen, betragsmässig erheblich ins Ge- wicht fallen. Entsprechend kann auch der Einwand nicht gehört werden, die Auskunft sei für die Ausübung der Aktionärsrechte nicht erforderlich. Die Frage, ob und wenn ja in welcher Höhe und in welchem Zeit- raum von den beiden Aktionären B. und C. Leistungen der Gesellschaft an ihrem Zürcher Domizil in Anspruch genommen wurden, wurde anlässlich der Generalversammlung unbestrittenermassen gestellt (Ziff. 2.1.12 und 2.1.13). Die Gesellschaft bestätigte diesbezüglich, dass solche Dienstleistun- gen als Teil der ihnen zustehenden Naturalleistungen in Anspruch genom- men würden und verwies im übrigen auf ihre Ausführungen zu den in ihrer Grössenordnung beschränkten unentgeltlichen Leistungen (Ordner 2, Bei- lage 5, S. 17, Ziff. 2, S. 7 Ziff. 2). Da wiederum weder Angaben über Art noch über die Höhe der tatsächlich bezogenen Leistungen gemacht wurden und Naturalbezüge im Zusammenhang mit der behaupteten verdeckten Ge- winnausschüttung durchaus von Belang sein könnten, ist auch in die- sem Punkt denkbar, dass die genauere Klärung der Frage durch den Son- derprüfer Fakten etwa für eine allfällige Rückforderungsklage liefern könnte. Anlässlich der Generalversammlung wurde nicht nur nach dem Stand des Projektes E. gefragt, sondern es wurde namentlich auch explizit um Einsicht in die Unterlagen betreffend Finanzierung des Projektes er- sucht. Die Frage, welche Beträge und welche Honorare an wen ausgerichtet wurden, wurde ausdrücklich gestellt. Die im Gesuch um Anordnung der Sonderprüfung enthaltenen Fragen 2.2.1 und 2.2.2 waren an der General- versammlung also vorgebracht worden. Der Verwaltungsrat informierte über den Stand des Projektes E. und trug unter anderem vor, dass die Ver- mietung P. übertragen worden sei, mit der ein üblicher Mäkler/Auftrag auf Erfolgsbasis abgeschlossen worden sei. Vor P. sei die Vermietung primär von O. betreut worden, der für die abgeschlossenen Mietverträge ein Mäklerho- norar zugestanden sei. Weitere Ansprüche habe sie gestellt, diese würden von der A. AG aber bestritten (Ordner 2, Beilage 5, S. 16 Ziff. 12). Die Frage nach den Beraterhonoraren blieb offen. Die Einsicht in die Unterlagen be- treffend Finanzierung wurden von der Unterzeichnung einer Vertraulich- keitserklärung abhängig gemacht. Dass diese Frage unbeantwortet blieb, kann nicht Z. angelastet werden, wie oben (E.10. d) ff) ausgeführt wurde, kann er nicht für das Scheitern der Vertraulichkeitserklärung verantwortlich gemacht werden. Es bleibt somit dabei, dass ein allfälliges Geheimhaltungs- interesse im Rahmen des Sonderprüfungsverfahrens unerheblich ist (Weber, a.a.O., N. 3 zu Art. 697c OR). Das Erfordernis der Subsidiarität ist im Zu- sammenhang mit den Fragen zum Projekt E. erfüllt.</w:t>
      </w:r>
    </w:p>
    <w:p>
      <w:r>
        <w:t>PKG 2004 22 159 Zusammenfassend ergibt sich, dass Z. sämtliche Fragen, welche zu den beiden im vorliegenden Verfahren verbliebenen Themenbereichen «Verdeckte Gewinnausschüttungen» und «Bauprojekt E.» gestellt wurden, im Wesentlichen auch anlässlich der ausserordentlichen Generalversamm- lung gestellt hat. Der Verwaltungsrat hätte aus den vorhergehenden Fragen nach Treu und Glauben jedenfalls erkennen können, worum es dem Re- kursgegner jeweils ging. Teilweise hat Z. die Fragen im Sonderprüfungsver- fahren aufgrund der im Protokoll zur ausserordentlichen Generalversamm- lung erhaltenen Antworten präzisiert, ohne den Gegenstand aber wesentlich zu verändern oder zu erweitern. Damit ist das Erfordernis der Subsidiarität bezüglich aller Fragen, welche der Bezirksgerichtspräsident Maloja zugelas- sen hat, erfüllt. Der Verwaltungsrat hat die derzeit noch strittigen Fragen teilweise nicht, teilweise sehr allgemein oder ausweichend beantwortet und die Einsicht in die Unterlagen betreffend die Finanzierung des Projekts E. zusätzlich von der Unterzeichnung einer Vertraulichkeitserklärung abhän- gig gemacht. Unter diesen Umständen kann nicht beanstandet werden, wenn Z. an seinem Begehren um Anordnung einer Sonderprüfung festhält. 12. a) Gemäss Art. 697b Abs. 2 OR muss der Gesuchsteller glaubhaft machen, dass Organe Gesetz oder Statuten verletzt und damit die Gesell- schaft geschädigt haben. Gesetzes- und Statutenverletzung bedeutet einen Verstoss gegen die geschriebenen oder ungeschriebenen Rechtsnormen oder aktienrechtlichen Grundsätze. Verletzung meint Pflichtwidrigkeit oder Widerrechtlichkeit und nicht bloss Unzweckmässigkeit (vgl. Weber, a.a.O., N. 6 zu Art. 697b OR). Eine Prüfung der Angemessenheit oder Zweckmäs- sigkeit ist nicht Verfahrensgegenstand (Weber, a.a.O., N. 17 zu Art. 697a OR). Schädigung der Gesellschaft oder von Aktionären bedeutet eine ein- getretene, unfreiwillige Vermögensverminderung. Neben dem Schaden ist auch ein Kausalzusammenhang glaubhaft zu machen, wobei in der Lehre und Rechtsprechung kein allzu strenger Massstab anzusetzen ist (Weber, a.a.O., N. 7 zu Art. 697c OR). Die Aktionärin oder der Aktionär hat die Gesetzes – oder Statuten- verletzung und die Schädigung von Gesellschaft und Aktionären glaubhaft zu machen. Glaubhaftmachung bedeutet, dass aufgrund konkreter Anhalts- punkte und in vorläufiger Würdigung der Tatsachen in sachlicher und recht- licher Hinsicht eine gewisse Wahrscheinlichkeit für deren Vorliegen gegeben sein muss, selbst wenn deren Verwirklichung nicht mit Sicherheit vorausge- sagt werden kann (Plausibilität; vgl. Weber, a.a.O., N. 3 zu Art. 697c OR mit Hinweisen). In tatsächlicher Hinsicht sind bestimmte Handlungen oder Un- terlassungen von Organen und der damit zusammenhängende Schaden glaubhaft zu machen. Es braucht somit nicht die volle Überzeugung des Ge- richts vom Vorhandensein dieser Tatsachen herbeigeführt zu werden, son- dern es genügt, wenn eine gewisse Wahrscheinlichkeit dafür spricht, auch</w:t>
      </w:r>
    </w:p>
    <w:p>
      <w:r>
        <w:t>22 PKG 2004 160 wenn das Gericht noch mit der Möglichkeit rechnet, dass sie sich nicht ver- wirklicht haben könnten. Das Gericht darf weder blosse Behauptungen genügen lassen noch einen stringenten Beweis verlangen. Es hat vielmehr in wertender Abwägung der sich gegenüberstehenden Interessen die im Gesuch behaupteten Verdachtsmomente auf ihre Wahrscheinlichkeit zu überprüfen. Zu beachten ist dabei, dass die Sonderprüfung der Verbesserung der Information der gesuchstellenden (Minderheits)aktionäre zu dienen bestimmt ist und das Gericht deshalb von ihnen nicht diejenigen Nachweise verlangen darf, welche erst die Sonderprüfung erbringen soll (BGE 120 II 398 mit Hinweisen; Casutt, a.a.O, S. 94). Entsprechendes gilt in Bezug auf die sich stellenden Rechtsfragen, namentlich jene im Zusammenhang mit den behaupteten Pflichtverletzungen von Organen. Auch hier hat das Ge- richt die Frage nach dem rechts- und statutenwidrigen Verhalten und damit nach der Verantwortlichkeit nicht abschliessend zu beantworten, sondern darf sich mit einer summarischen Prüfung begnügen (BGE 120 II 398 mit Hinweis auf Casutt, a.a.O., S. 99). Einem Begehren ist zwar nicht bereits dann zu entsprechen, wenn es sich nach einer summarischen Prüfung der massgebenden Rechtsfragen nicht als aussichtslos erweist. Das Gesuch ist aber jedenfalls dann gutzuheissen, wenn sich die rechtlichen Vorbringen zu den Anspruchsvoraussetzungen bei summarischer Prüfung als einigermas- sen aussichtsreich oder doch zumindest als vertretbar erweisen (BGE 120 II 398).Auch in der Lehre hat sich mehrheitlich die Meinung durchgesetzt, dass ein allzu strenger Massstab bei der Beurteilung des Glaubhaftmachens nicht angewendet werden dürfe (vgl. Weber, a.a.O., N. 3 zu Art. 397c OR mit Hin- weisen). Ist die Frage der rechtlichen Qualifikation des Verhaltens nicht liquid, sollte – wie in Zweifelsfällen – dem Gesuch stattgegeben werden, damit nach Durchführung der Sonderprüfung erneut darüber befunden wer- den kann (Casutt, a.a.O., S. 99, S. 102). b) Z. geht in seinem Gesuch davon aus, dass die Hauptaktionäre und Verwaltungsräte B. und C. von der A. AG gegenüber anderen Aktionären bevorzugt behandelt werden und Leistungen beziehen, welche nicht durch entsprechende Gegenleistungen in Form von Arbeitsleistungen gerechtfer- tigt sind. Er hat diese Behauptungen, soweit ihm dies aufgrund seines Kennt- nisstandes nach der Generalversammlung möglich war, auch untermauert. So weist er darauf hin, dass gemäss der Darstellung des Verwaltungsaufwan- des anlässlich der ausserordentlichen Generalversammlung unter dem Titel «Verwaltungsaufwand» ein beträchtlicher Betrag von rund Fr. 543 000.–, un- ter «Übriger Aufwand und VR» ein solcher von rund Fr. 1226 000.– bezahlt worden sei. Insgesamt sei für den Verwaltungsrat und für ihm nahestehende Personen also nochmals derselbe Betrag ausbezahlt worden wie an die Ma- nagementgesellschaft für die Verwaltung des gesamten Hotelbetriebs (Ord- ner 1, Beilage 1, S. 12, Ziff. 26, Ordner 2, Gesuchsbeilage 5, Ziff. A 1 und 2).</w:t>
      </w:r>
    </w:p>
    <w:p>
      <w:r>
        <w:t>PKG 2004 22 161 Weiter bringt er vor, die Mehrheitsaktionäre würden weitere unentgeltliche Leistungen beziehen, sei dies in Form von Leistungen, welche «vom Hause» übernommen würden, der Benützung der Infrastruktur der Gesuchsgegne- rin oder aber durch die Übernahme von Rechtskosten, welche nicht ge- rechtfertigt seien (Ordner 1, Beilage 1, S. 13, Ziff. 27). Dem Rekursgegner seien für die Monate Dezember 2003 bis März 2004 eine Rechnung über Fr. 240 000.– für die Benutzung von zwei Hotelzimmern gestellt worden. B. und C. würden eine mehrfach grössere Maisonettewohnung benutzen, ohne dass diese Kosten in Rechnung gestellt würden (Rekursantwort S. 13 Ziff. 21, Ordner 2, Gesuchsbeilagen 16–19). Geltend gemacht wird sodann, dass B. und C. neben ihrem Salär und dem Verwaltungshonorar weitere Leistungen auch in ihrem Domizil in Zürich beziehen würden, ohne dass eine entspre- chende Gegenleistung erbracht würde. Die A. AG hat gewisse dieser Ver- mutungen im Rahmen des Verfahrens betreffend Anordnung einer Sonder- prüfung zu entkräften versucht. So hat sie mit ihrer Stellungnahme eine detaillierte Aufgliederung der beiden Aufwandpositionen «Verwaltungsauf- wand» und «Übriger Aufwand und VR» eingereicht (Ordner 2, Beilagen 58 und 59). Im Rekursverfahren schliesslich hat sie konkrete Angaben zu den von B. und C. bezogenen Honoraren und zu den von ihnen erbrachten Lei- stungen gemacht, welche vom Rekursgegner allerdings bestritten werden. Andere Fragen hat sie, wie oben im Einzelnen ausgeführt wurde, nicht oder jedenfalls nicht schlüssig beantwortet (oben E. 11 b)). Gerade diese Taktik der Rekurrentin, die Fragen immer nur gerade soweit zu beantworten, wie dies angesichts des Verfahrensablaufs erforderlich erscheint, erhärtet den Verdacht, dass die Hauptaktionäre, welche ja die Aktienmehrheit besitzen und die Geschicke der A. AG damit beherrschen können, geldwerte Leis- tungen beziehen könnten, welche nicht in einem angemessenen Verhältnis zu den Gegenleistungen stehen. Der Kantonsgerichtspräsident rechnet zwar mit der Möglichkeit, dass im Rahmen der Sonderprüfung keine weiteren als die von der Gesellschaft bekanntgegebenen Bezüge eruiert werden und keine Unregelmässigkeiten vorliegen. Es spricht aber auch eine gewisse Wahrscheinlichkeit dafür, dass bei einer näheren Prüfung beispielsweise der vorhandenen Verträge mit den Hauptaktionären, der Naturalleistungen, der Kosten für externe Beratungen oder der Rechtskosten Positionen erschei- nen, die geeignet sein könnten, die behaupteten Gewinnausschüttungen zu- gunsten der Mehrheitsaktionäre zu belegen. Im Zusammenhang mit dem Bauprojekt E. weist Z. darauf hin, dass der neu erstellte Gebäudekomplex den Gästen des Hotels als Einkaufsmög- lichkeit für Luxusgüter dienen solle. Es seien daher vor allem Mieter gesucht worden, welche solche Luxusgüter verkaufen würden. Es müsse vermutet werden, dass bei der Erstellung und Vermietung von E. übermässig hohe Honorare an Drittpersonen bezahlt worden seien. Der Umstand, dass der</w:t>
      </w:r>
    </w:p>
    <w:p>
      <w:r>
        <w:t>22 PKG 2004 162 Verwaltungsrat in diesem Bereich eine Vertraulichkeitserklärung für die Auskunfts- und Einsichtserteilung verlange, lasse wiederum vermuten, dass B. und C. bei der Finanzierung, Erstellung und Vermietung Entschädigungen erhalten hatten, für die keine adäquate Gegenleistung erbracht worden sei. Es trifft zu, dass Z. hierfür keine konkreten Beweismittel angeben kann. Er hat es aber nicht bei blossen Behauptungen bewenden lassen, sondern hat wiederholt Auskunft und Einsicht verlangt. Gerade in dieser Situation kön- nen von ihm für die Glaubhaftmachung nicht diejenigen Nachweise verlangt werden, welche angesichts der Weigerung des Verwaltungsrates, ohne Un- terzeichnung einer Vertraulichkeitserklärung weitere Angaben zu machen, nur mit der Sonderprüfung erreicht werden können. Auch im Zusammen- hang mit den Fragen zum Projekt E. kommt der Kantonsgerichtspräsident damit zum Schluss, dass eine gewisse Wahrscheinlichkeit dafür besteht, dass übermässig hohe Zahlungen ausgerichtet wurden. c) Ist glaubhaft dargetan, dass die Organe Leistungen an die Haupt- aktionäre ausgerichtet haben, ohne dass dafür eine angemessene Gegenleis- tung erbracht wurde, erscheint ohne weiteres auch glaubhaft, dass die Ge- sellschaft dadurch geschädigt wurde. Wirtschaftlich betrachtet werden auf diese Weise nämlich Mittel der Gesellschaft an einzelne Aktionäre transfe- riert. Das Vermögen der Gesellschaft wird dadurch vermindert und zwar un- freiwillig, wenn die Ausschüttungen nicht aufgrund gültiger Beschlüsse er- folgen (Forstmoser/Meier-Hayoz/Nobel, a.a.O., § 40, N. 88f. , S. 496). Dass der Gesuchsteller den Schaden beziffert, kann nicht verlangt werden, dies wäre ihm nämlich erst mit den Informationen, welche er mit Durchführung der Sonderprüfung erhalten würde, möglich. d) Die Rekursgegnerin macht zusammengefasst geltend, die Organe der Gesellschaft hätten sich rechts- und statutenwidrigen verhalten, indem sie verdeckte Gewinnausschüttungen vorgenommen hätten. Sie hätten da- mit das Gleichbehandlungsgebot gemäss Art. 717 Abs. 2 OR verletzt, gegen die Kapitalschutzbestimmungen verstossen und die strengen Voraussetzun- gen für die Ausschüttung der Dividenden missachtet (Rekursantwort, S. 22 Ziff. 38 ff.). aa) Nach Art. 717 Abs. 2 OR haben die Mitglieder des Verwaltungs- rates die Aktionäre unter gleichen Voraussetzungen gleich zu behandeln. Das Recht auf Gleichbehandlung bedeutet ganz grundsätzlich, dass Ak- tionärinnen und Aktionäre gegen jede unterschiedliche Behandlung, die durch die Interessen der Gesellschaft nicht sachlich gerechtfertigt werden kann, geschützt sind. Der Gleichbehandlungsgrundsatz will allerdings nicht eine absolute Gleichbehandlung gewährleisten. Er bedeutet vielmehr, dass von der Gleichbehandlung nur insoweit abgewichen werden darf, als dies für die Verfolgung des Gesellschaftszweckes im Interesse der Gesamtheit aller Aktionäre unumgänglich notwendig ist. Eine unterschiedliche Behandlung</w:t>
      </w:r>
    </w:p>
    <w:p>
      <w:r>
        <w:t>PKG 2004 22 163 ist also dort zulässig, wo sie nicht unsachlich, sondern ein angemessenes Mit- tel zur Erreichung des Zwecks ist (so bereits BGE 69 II 248 f.; 91 II 300 f., BGE 95 II 162 f. ; Forstmoser/Meier-Hayoz/Nobel, a.a.O., § 39 NN. 12 ff., NN 63 ff., S. 459 ff.). Der Rekurrentin ist nach dem Gesagten insofern zuzustim- men, als das Gleichbehandlungsgebot gemäss Art. 717 Abs. 2 OR nicht be- deutet, dass die Gesellschaft Z. einerseits und B. und C. andererseits absolut gleich behandeln muss. Die Tatsache, dass B. und C. im Gegensatz zu Z. Ver- waltungsräte und langjährige Angestellte sind, kann eine unterschiedliche Behandlung rechtfertigen. Dies gilt allerdings nur dann, wenn die oben dar- gelegten strengen Voraussetzungen erfüllt sind.Wenn sich der Rekursgegner nun auf den Standpunkt stellt, die vermutete Bevorzugung der Mehrheits- aktionäre gehe über das zulässige Mass hinaus und sei sachlich nicht be- gründbar, ist diese Rechtsposition zumindest vertretbar. bb) Eine verdeckte Gewinnausschüttung liegt vor, wenn einem Ge- sellschafter oder einer ihm oder der Gesellschaft nahestehende Person be- wusst geschäftsmässig nicht begründete Zuwendungen geldwerter Vorteile durch die Gesellschaft erwachsen, ohne dass diese aufgrund eines Gewinn- verteilungs- oder Kapitalherabsetzungsbeschlusses durch die Gesellschaft erfolgen. Die Gesellschaft erbringt also Leistungen, ohne dafür eine an- gemessene Gegenleistung zu erhalten (Forstmoser/Meier-Hayoz/Nobel, a.a.O., § 40 NN. 88 f., S. 496). Die Ausschüttung verdeckter Gewinne ist rechtswidrig, weil dadurch die Kapitalschutzbestimmungen und die strengen Voraussetzungen für die Ausschüttung von Dividenden missachtet werden (Forstmoser/Meier-Hayoz/Nobel, a.a.O., § 40 N 91 ff.; § 50, insb. NN. 105 ff.; § 40 NN. 27 ff.; vgl. Böckli, a.a.O., N. 1412, 1413a). Entsprechend sieht Art. 678 Abs. 2 OR für verdeckte Gewinnausschüttungen ausdrücklich eine Rücker- stattungspflicht vor, wenn ein offensichtliches Missverhältnis zur Gegenleis- tung besteht. Verdeckte Gewinnausschüttungen liegen etwa dann vor, wenn die Gesellschaft zu hohe Entschädigungen für Arbeits- oder sonstige Dienst- leistungen zahlt oder wenn «Entschädigungen» für Dienstleistungen bezahlt werden, die in Wahrheit nicht oder nur in geringem Umfang gemacht wer- den (z.B. sogenannte Beraterverträge mit Personen, deren Ratschläge die Gesellschaft nie in Anspruch zu nehmen gedenkt (vgl. Peter Kurer, Basler Kommentar zum Schweizerischen Privatrecht, OR II, 2. Aufl., Basel 2002, N. 14 f. zu Art. 678 OR, Forstmoser/Meier-Hayoz/Nobel, a.a.O., § 50, N: 120, S. 661). Nach dem Gesagten ergibt sich, dass die rechtlichen Vorbringen des Rekursgegners bei einer summarischen Prüfung als aussichtsreich erschei- nen, wenn sich mit der Sonderprüfung die glaubhaft gemachten Fakten, wel- che auf eine verdeckte Gewinnausschüttung hinweisen, bestätigen lassen. e) Zusammenfassend ergibt sich, dass es dem Rekursgegner gelun- gen ist, glaubhaft zu machen, dass die Organe der Gesellschaft Gesetz oder Statuten verletzt und damit die Gesellschaft und Aktionäre geschädigt hat.</w:t>
      </w:r>
    </w:p>
    <w:p>
      <w:r>
        <w:t>22 PKG 2004 164 Im Ergebnis kann der Entscheid der Vorinstanz auch in diesem Punkt be- stätigt werden. PZ 03 127 Verfügung vom 5. November 2003 Die gegen diesen Entscheid erhobene Berufung hat das Bundesgericht mit Urteil 4C.165/2004 vom 30. Juli 2004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