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2</w:t>
      </w:r>
    </w:p>
    <w:p>
      <w:r>
        <w:t>GR Gerichte, DE</w:t>
      </w:r>
    </w:p>
    <w:p>
      <w:r>
        <w:rPr>
          <w:b/>
        </w:rPr>
        <w:t xml:space="preserve">Quelle: </w:t>
      </w:r>
      <w:r>
        <w:t>https://mcp.opencaselaw.ch/entscheid/gr_gerichte_PKG_2004_2</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15 zu Lebzeiten keine Ungleichbehandlung einzelner Erben erfolgt, liegt im Ergebnis kein gestörtes Gleichgewicht vor und besteht für die Anwendung von Ausgleichungsrecht von vorneherein kein Anlass, weil es eben nichts auszugleichen gibt. L. sel. ging in der inhaltlichen Gestaltung ihrer Verfü- gung von Todes wegen nicht über das rechtlich Zulässige hinaus – sämtliche Nachkommen haben ihren Pflichtteil erhalten. Nur der Pflichtteil allein, nicht auch die Gleichheit der Erben im Verhältnis zu ihrem gesetzlichen Erbanteil, ist für den Erblasser zwingenden Rechts (Peter Tuor/Vito Pice- noni, Berner Kommentar zum schweizerischen Privatrecht, Art. 537–640 ZGB, 2. Auflage, Bern 1964, N 3 Vorbemerkungen zu Art. 626 ZGB; Benn, a.a.O., S. 13). Im Ergebnis ist somit festzuhalten, dass die zu Lebzeiten emp- fangenen Beträge nicht der Ausgleichungspflicht unterstehen. Ziff. 1 des Be- rufungsbegehrens ist demnach gutzuheissen. ZF 04 4 Urteil vom 27. April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