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PKG 2004 15 vom 17. März 2003</w:t>
      </w:r>
    </w:p>
    <w:p>
      <w:r>
        <w:t>GR Gerichte, 2003-03-17, DE</w:t>
      </w:r>
    </w:p>
    <w:p>
      <w:r>
        <w:rPr>
          <w:b/>
        </w:rPr>
        <w:t xml:space="preserve">Quelle: </w:t>
      </w:r>
      <w:r>
        <w:t>https://mcp.opencaselaw.ch/entscheid/gr_gerichte_PKG_2004_15</w:t>
      </w:r>
    </w:p>
    <w:p>
      <w:r>
        <w:t>FR: GR_GERICHTE PKG 2004 15 du 17 mars 2003</w:t>
      </w:r>
    </w:p>
    <w:p>
      <w:r>
        <w:t>IT: GR_GERICHTE PKG 2004 15 del 17 marzo 2003</w:t>
      </w:r>
    </w:p>
    <w:p>
      <w:pPr>
        <w:pStyle w:val="Heading2"/>
      </w:pPr>
      <w:r>
        <w:t>Regeste</w:t>
      </w:r>
    </w:p>
    <w:p>
      <w:r>
        <w:t>Praxis Kantonsgericht |</w:t>
      </w:r>
    </w:p>
    <w:p>
      <w:r>
        <w:t>Regeste: siehe PKG-Dokument\x3Cbr\x3E | java.util.HashMap/1797211028</w:t>
      </w:r>
    </w:p>
    <w:p>
      <w:pPr>
        <w:pStyle w:val="Heading2"/>
      </w:pPr>
      <w:r>
        <w:t>Erwägungen</w:t>
      </w:r>
    </w:p>
    <w:p>
      <w:r>
        <w:rPr>
          <w:b/>
        </w:rPr>
        <w:t>E. 15</w:t>
      </w:r>
    </w:p>
    <w:p>
      <w:r>
        <w:t>91 Ein Grund für das Erfordernis der Schriftlichkeit ergibt sich aus der Bedeutung einer vorzeitigen Dispositivmitteilung. Diese dient in erster Li- nie den Vollzugsbehörden, welche umgehend darüber informiert werden müssen, ob der Verurteilte nach der Urteilsfällung in Sicherheitshaft ge- nommen worden ist, Massnahmen im Sinne der Art. 42–44 und Art. 100bis StGB oder der sofortige Strafantritt verfügt worden sind. In Bezug auf eine angesetzte Probezeit lässt sich mittels der vorzeitigen Dispositivmitteilung der exakte Beginn derselben ermitteln und auch nachweisen, welcher – wie im vorliegenden Fall – dann von Bedeutung ist, wenn der Verurteilte während der Probezeit erneut delinquiert. Das Erfordernis der Schriftlich- keit erfüllt damit einerseits eine Beweisfunktion, andererseits wird damit das Risiko von Falschübermittlungen minimiert. Eine telefonische Disposi- tivmitteilung an den Rechtsvertreter kann diese Funktionen nicht erfüllen, zumal – wie im vorliegenden Fall – der genaue Inhalt und die allfällige Wei- tergabe der telefonischen Information hinsichtlich Inhalt und Zeitpunkt oft nicht bewiesen werden kann. Dieser Nachweis lässt sich aber mit einer mündlichen Urteilseröffnung in Anwesenheit des Angeklagten ebenso er- bringen wie mit der schriftlichen autorisierten Dispositivmitteilung. Denn als Voraussetzung für einen Widerruf gilt als Grundsatz immer noch, dass der Täter vom früheren Urteil überhaupt genaue Kenntnis hatte (vgl. Stefan Trechsel, Kommentar zum Schweizerischen Strafgesetzbuch, 2. Auflage, 1997, N 46 zu Art. 41 StGB, Basler Kommentar, 2003, N 132 f zu Art. 41 StGB). Zusammenfassend ist daher festzuhalten, dass eine telefonische Mit- teilung des Urteilsdispositivs den formellen Anforderungen an eine münd- liche Urteilseröffnung nicht zu genügen vermag und auch nicht einer vor- zeitigen Dispositivmitteilung gemäss Art. 128a StPO gleichzustellen ist. Im vorliegenden Fall hat dies zur Folge, dass die Probezeit erst mit der schrift- lichen Mitteilung des Urteils am 19. Mai 2003 und somit nach Begehung der von X. begangenen Widerhandlungen gegen das Waffengesetz zu laufen be- gann. Der Widerruf der mit Urteil des Bezirksgerichts A. vom 17. März 2003, mitgeteilt am 19. Mai 2003, bedingt ausgesprochenen Gefängnisstrafe von 12 Monaten fällt damit ausser Betracht. Die Berufung von X. ist daher gutzu- heissen und die Ziffer 3 des angefochtenen Entscheides aufzuheben. SB 04 2 Urteil vom 18. Februar 2004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