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2004 13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https://mcp.opencaselaw.ch/entscheid/gr_gerichte_PKG_2004_13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PKG 2004 86 c) Zusammenfassend sei gesagt, dass der Berufungsbeklagte, als er in seinem Lastwagen mit einem ungenügenden Abstand von höchstens zwanzig Metern, einer maximalen Geschwindigkeit von 86 km/h über eine Strecke von ca. acht Kilometern hinter A. herfuhr, die Verkehrsregeln ge- mäss Art. 34 Abs. 4 SVG und Art. 12 Abs. 1 VRV in Verbindung mit Art. 90 Ziff. 2 SVG sowohl subjektiv als auch objektiv grob verletzt hat. SB 04 16 Urteil vom 28. Juli 2004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