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2004 10 vom 28. April 2003</w:t>
      </w:r>
    </w:p>
    <w:p>
      <w:r>
        <w:t>GR Gerichte, 2003-04-28, DE</w:t>
      </w:r>
    </w:p>
    <w:p>
      <w:r>
        <w:rPr>
          <w:b/>
        </w:rPr>
        <w:t xml:space="preserve">Quelle: </w:t>
      </w:r>
      <w:r>
        <w:t>https://mcp.opencaselaw.ch/entscheid/gr_gerichte_PKG_2004_10</w:t>
      </w:r>
    </w:p>
    <w:p>
      <w:r>
        <w:t>FR: GR_GERICHTE PKG 2004 10 du 28 avril 2003</w:t>
      </w:r>
    </w:p>
    <w:p>
      <w:r>
        <w:t>IT: GR_GERICHTE PKG 2004 10 del 28 aprile 2003</w:t>
      </w:r>
    </w:p>
    <w:p>
      <w:pPr>
        <w:pStyle w:val="Heading2"/>
      </w:pPr>
      <w:r>
        <w:t>Regeste</w:t>
      </w:r>
    </w:p>
    <w:p>
      <w:r>
        <w:t>Praxis Kantonsgericht |</w:t>
      </w:r>
    </w:p>
    <w:p>
      <w:r>
        <w:t>Regeste: siehe PKG-Dokument\x3Cbr\x3E | java.util.HashMap/1797211028</w:t>
      </w:r>
    </w:p>
    <w:p>
      <w:pPr>
        <w:pStyle w:val="Heading2"/>
      </w:pPr>
      <w:r>
        <w:t>Erwägungen</w:t>
      </w:r>
    </w:p>
    <w:p>
      <w:r>
        <w:rPr>
          <w:b/>
        </w:rPr>
        <w:t>E. 10</w:t>
      </w:r>
    </w:p>
    <w:p>
      <w:r>
        <w:t>PKG 2004 68 von sieben Tagen bei der Post abgeholt werden. Da A. also verpflichtet war, den Empfang eingeschriebener Sendungen sicherzustellen, rechtfertigt sich der Beizug der Zustellungsfiktion. Die am 1. April 2003 eingeschrieben ver- sendete Aufforderung zur Stellungnahme gilt demzufolge als am 9. April 2003 zugestellt. Der nochmalige Versand vom 14. April 2003 ist nach bun- desgerichtlicher Rechtsprechung für die Festlegung des Zustellungszeit- punktes nicht von Bedeutung (vgl. BGE 118 V 190; 111 V 101; PKG 1998 Nr. 44). Damit ist erstellt, dass der Anspruch der Beschwerdeführerin auf recht- liches Gehör durch die am 9. April 2003 erfolgte Zustellung der Vernehm- lassungsaufforderung gewahrt wurde. SKG 03 20 Urteil vom 18. Juni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