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2003 4</w:t>
      </w:r>
    </w:p>
    <w:p>
      <w:r>
        <w:t>GR Gerichte, DE</w:t>
      </w:r>
    </w:p>
    <w:p>
      <w:r>
        <w:rPr>
          <w:b/>
        </w:rPr>
        <w:t xml:space="preserve">Quelle: </w:t>
      </w:r>
      <w:r>
        <w:t>https://mcp.opencaselaw.ch/entscheid/gr_gerichte_PKG_2003_4</w:t>
      </w:r>
    </w:p>
    <w:p>
      <w:pPr>
        <w:pStyle w:val="Heading2"/>
      </w:pPr>
      <w:r>
        <w:t>Regeste</w:t>
      </w:r>
    </w:p>
    <w:p>
      <w:r>
        <w:t>Praxis Kantonsgericht |</w:t>
      </w:r>
    </w:p>
    <w:p>
      <w:r>
        <w:t>Regeste: siehe PKG-Dokument\x3Cbr\x3E | java.util.HashMap/1797211028</w:t>
      </w:r>
    </w:p>
    <w:p>
      <w:pPr>
        <w:pStyle w:val="Heading2"/>
      </w:pPr>
      <w:r>
        <w:t>Erwägungen</w:t>
      </w:r>
    </w:p>
    <w:p>
      <w:r>
        <w:rPr>
          <w:b/>
        </w:rPr>
        <w:t>E. 4</w:t>
      </w:r>
    </w:p>
    <w:p>
      <w:r>
        <w:t>31 liegen, was ihm gemäss Faustregel zuzumuten wäre. Der bisherige Mietzins bleibt daher unbeachtlich, entspricht es doch wie bereits erwähnt nicht dem Sinn und Zweck des Erstreckungsrechts, den Mieter möglichst lange von günstigem Wohnraum profitieren zu lassen ( BGE 105 II 198 ). Der Beru- fungskläger hat nun aber weder behauptet noch bewiesen, dass in B. ein Wohnungsmangel herrscht und zumutbare Ersatzobjekte zu einem Mietzins in der Grössenordnung von Fr. 1000.– nicht erhältlich sind. Insbesondere sei an dieser Stelle nochmals darauf hingewiesen, dass A. seit Empfang der Kündigung am 27. Juni 2002, mithin seit mehr als einem Jahr, keine nen- nenswerten Suchbemühungen getätigt hat. Dass während dieses doch er- heblichen Zeitraums kein einziges gleichwertiges Ersatzobjekt zu finden ge- wesen wäre, erscheint selbst bei Beschränkung der Suchbemühungen auf die Ortschaft B. doch sehr unwahrscheinlich. Dies umso mehr, als der Beru- fungskläger nicht auf sich selbst gestellt gewesen wäre, sondern die Beru- fungsbeklagte um Hilfe hätte angehen können. Im Lichte der vorstehenden Erwägungen erhellt, dass der Beru- fungskläger keine Gründe vorzubringen vermag, welche eine Härte im Sinne des Gesetzes begründen. Damit entfällt jedoch auch die Grundlage für die Vornahme einer Interessenabwägung zwischen den Parteien, setzt diese doch nach dem bisher Gesagten ( vgl. Ziff. 3 lit. b hievor) das Bestehen einer Härte seitens des Mieters voraus. Die Berufung ist somit abzuweisen. ZF 03 22 Urteil vom 29. September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