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2003 37 vom 17. Januar 1923</w:t>
      </w:r>
    </w:p>
    <w:p>
      <w:r>
        <w:t>GR Gerichte, 1923-01-17, DE</w:t>
      </w:r>
    </w:p>
    <w:p>
      <w:r>
        <w:rPr>
          <w:b/>
        </w:rPr>
        <w:t xml:space="preserve">Quelle: </w:t>
      </w:r>
      <w:r>
        <w:t>https://mcp.opencaselaw.ch/entscheid/gr_gerichte_PKG_2003_37</w:t>
      </w:r>
    </w:p>
    <w:p>
      <w:r>
        <w:t>FR: GR_GERICHTE PKG 2003 37 du 17 janvier 1923</w:t>
      </w:r>
    </w:p>
    <w:p>
      <w:r>
        <w:t>IT: GR_GERICHTE PKG 2003 37 del 17 gennaio 1923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37</w:t>
      </w:r>
    </w:p>
    <w:p>
      <w:r>
        <w:t>199 also nicht – insbesondere dann nicht, wenn es gegen den Willen der Erben ist – weiter geteilt werden. Vorliegend sollten die aktuellen Betreibungsfor- derungen von rund 40 000 Franken bereits durch den Erlös aus dem Mitei- gentumsanteil am Grundstück und durch das voraussichtliche Barvermögen befriedigt werden können. Deren Teilung ist notwendig, aber auch hinrei- chend. Auf eine Teilung des weitgehend wertlosen Liegenschaftsinventars kann verzichtet werden. Soweit das Betreibungsamt die Teilung des Inven- tars verlangt, ist sein Rekurs folglich abzuweisen. PZ 02 122 Urteil vom 11. April 2003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