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2003 35 vom 21. Oktober 2002</w:t>
      </w:r>
    </w:p>
    <w:p>
      <w:r>
        <w:t>GR Gerichte, 2002-10-21, DE</w:t>
      </w:r>
    </w:p>
    <w:p>
      <w:r>
        <w:rPr>
          <w:b/>
        </w:rPr>
        <w:t xml:space="preserve">Quelle: </w:t>
      </w:r>
      <w:r>
        <w:t>https://mcp.opencaselaw.ch/entscheid/gr_gerichte_PKG_2003_35</w:t>
      </w:r>
    </w:p>
    <w:p>
      <w:r>
        <w:t>FR: GR_GERICHTE PKG 2003 35 du 21 octobre 2002</w:t>
      </w:r>
    </w:p>
    <w:p>
      <w:r>
        <w:t>IT: GR_GERICHTE PKG 2003 35 del 21 ottobre 2002</w:t>
      </w:r>
    </w:p>
    <w:p>
      <w:pPr>
        <w:pStyle w:val="Heading2"/>
      </w:pPr>
      <w:r>
        <w:t>Regeste</w:t>
      </w:r>
    </w:p>
    <w:p>
      <w:r>
        <w:t>Praxis Kantonsgericht |</w:t>
      </w:r>
    </w:p>
    <w:p>
      <w:r>
        <w:t>Regeste: siehe PKG-Dokument\x3Cbr\x3E | java.util.HashMap/1797211028</w:t>
      </w:r>
    </w:p>
    <w:p>
      <w:pPr>
        <w:pStyle w:val="Heading2"/>
      </w:pPr>
      <w:r>
        <w:t>Erwägungen</w:t>
      </w:r>
    </w:p>
    <w:p>
      <w:r>
        <w:rPr>
          <w:b/>
        </w:rPr>
        <w:t>E. 35</w:t>
      </w:r>
    </w:p>
    <w:p>
      <w:r>
        <w:t>PKG 2003 186 somit einzig noch die Frage, ob vorliegend ein von einem Teil der Lehre vor- gesehener Ausnahmetatbestand vorliegt. Auch diese Frage ist zu verneinen, zumal nicht gesagt werden kann, bei der Verteilung von 1/3 der Wertschriften handle es sich um einen quantitativ bescheidenen Anteil, noch behauptet werden kann, der Willensvollstrecker habe ein «Aushungern» schwächerer durch potentere Erben verhindern wollen. c) Im Resultat kann somit festgehalten werden, dass der Willens- vollstrecker nicht befugt war, S. die besagten Wertschriften auszuhändigen. Daran ändert auch die Zustimmung der Aufsichtsbehörde nichts. Denn selbstverständlich können durch ihre Zustimmung nicht die gesetzlichen Kompetenzen des Willensvollstreckers erweitert werden. Der Rekurs ist so- mit gutzuheissen und Ziffer 1 der angefochtenen Verfügung ist aufzuheben. PZ 02 127 Verfügung vom 1. April 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