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22 vom 25. September 2002</w:t>
      </w:r>
    </w:p>
    <w:p>
      <w:r>
        <w:t>GR Gerichte, 2002-09-25, DE</w:t>
      </w:r>
    </w:p>
    <w:p>
      <w:r>
        <w:rPr>
          <w:b/>
        </w:rPr>
        <w:t xml:space="preserve">Quelle: </w:t>
      </w:r>
      <w:r>
        <w:t>https://mcp.opencaselaw.ch/entscheid/gr_gerichte_PKG_2003_22</w:t>
      </w:r>
    </w:p>
    <w:p>
      <w:r>
        <w:t>FR: GR_GERICHTE PKG 2003 22 du 25 septembre 2002</w:t>
      </w:r>
    </w:p>
    <w:p>
      <w:r>
        <w:t>IT: GR_GERICHTE PKG 2003 22 del 25 settembre 2002</w:t>
      </w:r>
    </w:p>
    <w:p>
      <w:pPr>
        <w:pStyle w:val="Heading2"/>
      </w:pPr>
      <w:r>
        <w:t>Regeste</w:t>
      </w:r>
    </w:p>
    <w:p>
      <w:r>
        <w:t>Praxis Kantonsgericht |</w:t>
      </w:r>
    </w:p>
    <w:p>
      <w:r>
        <w:t>Regeste: siehe PKG-Dokument\x3Cbr\x3E | java.util.HashMap/1797211028</w:t>
      </w:r>
    </w:p>
    <w:p>
      <w:pPr>
        <w:pStyle w:val="Heading2"/>
      </w:pPr>
      <w:r>
        <w:t>Erwägungen</w:t>
      </w:r>
    </w:p>
    <w:p>
      <w:r>
        <w:rPr>
          <w:b/>
        </w:rPr>
        <w:t>E. 22</w:t>
      </w:r>
    </w:p>
    <w:p>
      <w:r>
        <w:t>PKG 2003 120 Band I, 7. A. Zürich 1998, Rz 154 f.; BGE 128 III 70 E. 2, 114 II 324 E. 2a, 111 II 480 E. lb, in Bezug auf Prozesshandlungen vgl. BGE 127 II 306 E. 6c; für Begehren und Rückzüge, die beim Betreibungsamt zu stellen sind, vgl. BGE 85 III 68 / 72 ). So sind zum Beispiel bei der arbeitsvertraglichen Kündigung, mit welcher das Rechtsverhältnis einseitig umgestaltet wird, Bedingungen nur zulässig, soweit deren Eintritt ausschliesslich vom Willen des Gekündig- ten ( Erklärungsempfänger) abhängt, so dass sich dieser nicht in einer unsi- cheren Lage befindet ( BGE 128 III 129 E. 2a, 123 III 246 E. 3 ). Gerade letz- teres traf hier nicht zu, war es doch vom Willen der Ersteigerin und Erklärungsempfängerin unabhängig, ob ihre Verwandtschaft die in einer an- deren Vollstreckungssache hängige Beschwerde bei der Aufsichtsbehörde zurückzog oder nicht. Dieselbe Ansicht vertritt im übrigen auch die Be- schwerdeführerin selbst, wenn sie betont, es sei nicht ersichtlich, wie sie auf die Entscheidung der Erben E. betreffend den Beschwerderückzug hätte Einfluss nehmen können, weshalb die Bedingung der Gläubigerin für die Er- streckung der Zahlungsfrist «nichtig» sei ( act. 01 S. 4 ). Hingegen täuscht sie sich über die Rechtsfolgen. Es ist nicht die Bedingung nichtig und die Frist- erstreckung infolge unbedingter Zustimmung der Gläubigerin erteilt, son- dern es tritt die Gestaltungswirkung ( Einwilligung) nicht ein. Einerseits ist die von der Bank Z. nur bedingt erteilte Einwilligung rechtsunwirksam; an- dererseits kann nicht gesagt werden, die Bank habe durch Stillschweigen zu- gestimmt. Es herrscht mithin die Rechtslage, wie wenn sie weder eine aus- drückliche noch eine stillschweigende Einwilligungserklärung abgegeben hätte. SKA 03 2 Entscheid vom 10. Februar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