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2003 16</w:t>
      </w:r>
    </w:p>
    <w:p>
      <w:r>
        <w:t>GR Gerichte, DE</w:t>
      </w:r>
    </w:p>
    <w:p>
      <w:r>
        <w:rPr>
          <w:b/>
        </w:rPr>
        <w:t xml:space="preserve">Quelle: </w:t>
      </w:r>
      <w:r>
        <w:t>https://mcp.opencaselaw.ch/entscheid/gr_gerichte_PKG_2003_16</w:t>
      </w:r>
    </w:p>
    <w:p>
      <w:pPr>
        <w:pStyle w:val="Heading2"/>
      </w:pPr>
      <w:r>
        <w:t>Regeste</w:t>
      </w:r>
    </w:p>
    <w:p>
      <w:r>
        <w:t>Praxis Kantonsgericht |</w:t>
      </w:r>
    </w:p>
    <w:p>
      <w:r>
        <w:t>Regeste: siehe PKG-Dokument\x3Cbr\x3E | java.util.HashMap/1797211028</w:t>
      </w:r>
    </w:p>
    <w:p>
      <w:pPr>
        <w:pStyle w:val="Heading2"/>
      </w:pPr>
      <w:r>
        <w:t>Erwägungen</w:t>
      </w:r>
    </w:p>
    <w:p>
      <w:r>
        <w:rPr>
          <w:b/>
        </w:rPr>
        <w:t>E. 16</w:t>
      </w:r>
    </w:p>
    <w:p>
      <w:r>
        <w:t>93 sie dem andern Mitinhaber der elterlichen Sorge die Ausübung des gericht- lich festgelegten Besuchs- und Ferienrechts vereitelt hat. Die Trennungsvereinbarung zwischen der Angeklagten und ihrem Ehemann vom 10. Oktober 2000, die richterlich genehmigt wurde, legt fest, dass während der Dauer der Trennung die Kinder in der Obhut der Ange- klagten bleiben, wobei diese Regelung nichts daran ändert, dass die Ange- klagte und ihr getrennt lebender Ehemann nach wie vor beide Inhaber der elterlichen Sorge über die gemeinsamen Kinder sind. Dem Ehemann wurde in der Vereinbarung das Recht eingeräumt, seine Kinder jeweils am ersten Samstag und am dritten Sonntag eines jeden Monats zu sich auf Besuch zu nehmen; ferner darf er mit seinen Kindern drei Wochen Ferien verbringen, und zwar zwei Wochen im Sommer und eine Woche im Frühling oder Herbst. Die Voraussetzung des Vorhandenseins eines Besuchs- beziehungsweise Fe- rienrechts in einer gerichtlich genehmigten Trennungsvereinbarung ist somit gegeben. Zu prüfen ist, ob dies für das Ferienrecht, welches richterlich nicht genau fixiert wurde, uneingeschränkte Gültigkeit hat. Dabei geht die Auf- fassung der Berufungsklägerin, welche die Anwendung von Art. 220 StGB nur als zulässig erachtet, wenn der Richter die Ferientermine festgelegt hat, eindeutig zu weit. Hat der Richter – wie im vorliegenden Fall – angeordnet, dass dem Vater im Sommer zwei Ferienwochen mit den Kindern zustehen, so genügt es für die Erfüllung des objektiven Tatbestandes von Art. 220 StGB, wenn sich die Eltern über den genauen Ferienbeginn und die Dauer verständigt haben und die Mutter anschliessend die Ferien vereitelt. Zu prü- fen ist deshalb vorab, ob eine derartige Vereinbarung zwischen den Eltern zustandegekommen ist. Mit den E-Mails vom 26. Mai 2001 und 14. Juli 2001 kündigte der Ehemann der Angeklagten an, dass er sein Besuchsrecht vom</w:t>
      </w:r>
    </w:p>
    <w:p>
      <w:r>
        <w:rPr>
          <w:b/>
        </w:rPr>
        <w:t>E. 18</w:t>
      </w:r>
    </w:p>
    <w:p>
      <w:r>
        <w:t>bzw. 17. Juli 2001 bis 25. Juli bzw. 2. August 2001 ausüben werde. Dabei spielt es für die Tatbestandsmässigkeit des Verhaltens der Angeklagten keine Rolle, ob ihr Ehemann möglicherweise die Dauer seines Besuchs- rechts um zwei Tage überschreiten würde, da sie dies vor Ferienbeginn nie gerügt hat und diese zusätzlichen Tage im Herbst kompensiert worden wären, wie dies der Ehemann in seinem E-Mail vom 14. Juli 2001 festhielt. Aus diesen Gründen durfte dieser davon ausgehen, dass die Angeklagte mit dem mitgeteilten Feriendatum einverstanden war. Die Angeklagte kann sich allenfalls auch nicht dadurch entlasten, dass sie ja zur gleichen Zeit mit den Kindern Ferien im Tirol geplant habe. Wenn eine Terminkollision der Grund für ihr Verhalten gewesen wäre, so wäre sie nach Treu und Glauben ver- pflichtet gewesen, dies sofort dem Ehemann mitzuteilen, damit ein neues Datum für die Ferien des Vaters hätte gefunden werden können. Mit ihrem Stillschweigen liess sie ihren Ehemann indessen im Glauben, der von ihm angegebene Ferientermin sei in Ordnung. Aufgrund dieser Ausführungen ist</w:t>
      </w:r>
    </w:p>
    <w:p>
      <w:r>
        <w:t>16 PKG 2003 94 davon auszugehen, dass das geschützte Besuchsrecht des Vaters für die Dauer der vereinbarten und gerichtlich genehmigten zwei Wochen am Abend des 17. Juli 2001 begann. Ein Entziehen der unmündigen Kinder während dieser Zeit stand somit grundsätzlich unter Strafe im Sinne von Art. 220 StGB. SB 03 32 Urteil vom 30. Juli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