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2002 28 vom 24. April 2002</w:t>
      </w:r>
    </w:p>
    <w:p>
      <w:r>
        <w:t>GR Gerichte, 2002-04-24, DE</w:t>
      </w:r>
    </w:p>
    <w:p>
      <w:r>
        <w:rPr>
          <w:b/>
        </w:rPr>
        <w:t xml:space="preserve">Quelle: </w:t>
      </w:r>
      <w:r>
        <w:t>https://mcp.opencaselaw.ch/entscheid/gr_gerichte_PKG_2002_28</w:t>
      </w:r>
    </w:p>
    <w:p>
      <w:r>
        <w:t>FR: GR_GERICHTE PKG 2002 28 du 24 avril 2002</w:t>
      </w:r>
    </w:p>
    <w:p>
      <w:r>
        <w:t>IT: GR_GERICHTE PKG 2002 28 del 24 aprile 2002</w:t>
      </w:r>
    </w:p>
    <w:p>
      <w:pPr>
        <w:pStyle w:val="Heading2"/>
      </w:pPr>
      <w:r>
        <w:t>Regeste</w:t>
      </w:r>
    </w:p>
    <w:p>
      <w:r>
        <w:t>Praxis Kantonsgericht |</w:t>
      </w:r>
    </w:p>
    <w:p>
      <w:r>
        <w:t>Regeste: siehe PKG-Dokument\x3Cbr\x3E | java.util.HashMap/1797211028</w:t>
      </w:r>
    </w:p>
    <w:p>
      <w:pPr>
        <w:pStyle w:val="Heading2"/>
      </w:pPr>
      <w:r>
        <w:t>Erwägungen</w:t>
      </w:r>
    </w:p>
    <w:p>
      <w:r>
        <w:rPr>
          <w:b/>
        </w:rPr>
        <w:t>E. 28</w:t>
      </w:r>
    </w:p>
    <w:p>
      <w:r>
        <w:t>PKG 2002 oder durch eine Abschrankung dem öffentlichen Verkehr und damit der Herrschaft des SVG entzogen werden könne. Denn solange der Grundei- gentümer gegen die verkehrsmässige Benutzung seines Grund und Bodens durch einen unbestimmbaren Personenkreis nichts Erkennbares vorkehre, sich vielmehr ausdrücklich oder stillschweigend mit einem solchen Ge- brauch einverstanden erkläre, verzichte er auf die aus seinem Eigentum fol- gende Befugnis, allein über eine Benützung der genannten Art zu bestim- men. In diesem Sinne statuiert Art. 5 Abs. 1 SVG, dass Beschränkungen und Anordnungen für den Motorfahrzeugverkehr durch Signale und Markie- rungen angezeigt werden müssen, sofern sie nicht für das ganze Gebiet der Schweiz gelten. Eine Ausnahme besteht aber für Strassen und Plätze, die of- fensichtlich privater Benützung oder besonderen Zwecken vorbehalten sind, diese bedürften keiner besonderen Kennzeichnung. b) Im vorliegenden Fall geht es um die Qualifizierung der Erschlies- sungsstrasse zu den Liegenschaften des M.weges 16–22. Aus den Akten ist nun aber letztlich nicht klar ersichtlich, ob die obgenannten Kriterien für eine öffentliche Strasse gegeben sind. Es ergibt sich weder aus dem Polizei- rapport noch aus dem Fotoblatt noch aus dem Augenscheinprotokoll, ob die Strasse einem unbestimmbaren Personenkreis offensteht oder ob ein für je- dermann klar ersichtliches signalisiertes Verbot den öffentlichen Verkehr von der Benützung der Strasse abhält oder ob die Strasse offensichtlich für die private Benützung oder zu besonderen Zwecken vorbehalten ist. Es kann infolgedessen nicht rechtsgenüglich nachgewiesen werden, ob die be- treffende Erschliessungsstrasse öffentlichen Charakter hat oder eine private Strasse ist, die der Herrschaft des SVG entzogen ist. Der Berufungskläger kann somit nicht wegen Verletzung von Verkehrsregeln schuldig gesprochen werden und die Berufung ist in diesem Punkt gutzuheissen. SB 02 14 Urteil vom 24. April 2002 184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