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2001 37 vom 22. Mai 2002</w:t>
      </w:r>
    </w:p>
    <w:p>
      <w:r>
        <w:t>GR Gerichte, 2002-05-22, DE</w:t>
      </w:r>
    </w:p>
    <w:p>
      <w:r>
        <w:rPr>
          <w:b/>
        </w:rPr>
        <w:t xml:space="preserve">Quelle: </w:t>
      </w:r>
      <w:r>
        <w:t>https://mcp.opencaselaw.ch/entscheid/gr_gerichte_PKG_2001_37</w:t>
      </w:r>
    </w:p>
    <w:p>
      <w:r>
        <w:t>FR: GR_GERICHTE PKG 2001 37 du 22 mai 2002</w:t>
      </w:r>
    </w:p>
    <w:p>
      <w:r>
        <w:t>IT: GR_GERICHTE PKG 2001 37 del 22 maggio 2002</w:t>
      </w:r>
    </w:p>
    <w:p>
      <w:pPr>
        <w:pStyle w:val="Heading2"/>
      </w:pPr>
      <w:r>
        <w:t>Regeste</w:t>
      </w:r>
    </w:p>
    <w:p>
      <w:r>
        <w:t>Praxis Kantonsgericht |</w:t>
      </w:r>
    </w:p>
    <w:p>
      <w:r>
        <w:t>Regeste: siehe PKG-Dokument\x3Cbr\x3E | java.util.HashMap/1797211028</w:t>
      </w:r>
    </w:p>
    <w:p>
      <w:pPr>
        <w:pStyle w:val="Heading2"/>
      </w:pPr>
      <w:r>
        <w:t>Erwägungen</w:t>
      </w:r>
    </w:p>
    <w:p>
      <w:r>
        <w:rPr>
          <w:b/>
        </w:rPr>
        <w:t>E. 36</w:t>
      </w:r>
    </w:p>
    <w:p>
      <w:r>
        <w:t>155 ZGB geregelt (BGE 78 II 411). Damit sind in Art. 613 ZGB Sachen be- zeichnet, die sich zwar aus einer Anzahl von sachenrechtlich selbständigen Einzelgegenständen zusammensetzen, die aber verkehrs- oder gewohnheits- mässig zu einer ideellen Einheit zusammengefasst werden (Escher, Zürcher Kommentar zum Schweizerischen Zivilgesetzbuch, III. Band, Erbrecht, 2. Abteilung, Der Erbgang, Art. 537– 640 ZGB, 3. Aufl., Zürich 1960, N. 3 zu Art. 613 ZGB; Piotet, SPR IV/2, Erbrecht, Basel/Stuttgart 1981, S. 881 f.; See- berger, Die richterliche Erbteilung, Diss., Fribourg 1992, S. 185). Auch meh- rere Grundstücke können eine Art. 613 Abs. 1 ZGB unterstehende Sach- gesamtheit bilden, etwa wenn ihre Zusammenlegung ermöglicht, einer be- sonderen Zweckbestimmung zu entsprechen oder eine bestimmte wirt- schaftliche Funktion zu erfüllen (Piotet, a. a. O., S. 882). c) Auf der Parzelle 599 befinden sich ein Wohnhaus, zwei Ställe, Wald und Wiesland. Aufgrund des sachenrechtlichen Akzessionsprinzipes, wonach sich das Eigentum an Grund und Boden auf die darauf errichteten Bauten und die damit verbundenen Pflanzen und Quellen sowie auf andere ver- gleichbare Gegenstände erstreckt, ist aber von einer einzigen Sache auszu- gehen (vgl. Wiegand, Basler Kommentar zum Schweizerischen Privatrecht, Schweizerisches Zivilgesetzbuch II, Art. 457– 977 ZGB, Art. 1– 61 SchlT ZGB, Basel 1998, N. 66 zu Vorbemerkungen zu Art. 641 ff. ZGB). Damit be- steht keine Sachgesamtheit und kommt die besondere Teilungsvorschrift von Art. 613 ZGB entgegen der Auffassung von C. und B. nicht zur Anwen- dung. Gleichzeitig entfällt die Möglichkeit für den Kreispräsidenten, eine Zuweisung der Parzelle 599 an C. gestützt auf Art. 613 Abs. 3 ZGB vorzu- nehmen. Vielmehr ist die Regelung von Art. 611 f. ZGB anwendbar. Es stellt sich dabei die Frage, ob eine Zuweisung an C. dennoch möglich ist oder aber die strittige Parzelle 599 als Folge der Uneinigkeit unter den Erben entspre- chend dem Antrag von A. zu versilbern und der Erlös zu verteilen ist. PZ 01 12 und 18 Verfügung vom 22. Mai 2002</w:t>
      </w:r>
    </w:p>
    <w:p>
      <w:r>
        <w:rPr>
          <w:b/>
        </w:rPr>
        <w:t>E. 37</w:t>
      </w:r>
    </w:p>
    <w:p>
      <w:r>
        <w:t>PKG 2001 160 Gemäss Art. 649a ZGB sind indes die von den Miteigentümern gefassten Verwaltungsbeschlüsse auch für deren Rechtsnachfolger verbindlich. Grundsätzlich ist also der Beschluss vom 29. April 1992 für E. und die Ehe- leute U. als momentane Miteigentümer der Parzelle Nr. 3982 bindend. Ent- gegen dem Einwand der Rekursgegner vermag daran auch der von den früheren Miteigentümern H. ausgesprochene «Vertragsrücktritt» nach Art. 107 OR nichts zu ändern. Der Miteigentümerbeschluss ist kein synallagma- tischer Vertrag, sondern eine Vereinbarung mit gesellschaftsvertragsähnli- chem Inhalt (vgl. Meier-Hayoz, a. a. O., N. 37 zu Art. 647 ZGB). Die Ver- zugsregeln gemäss Art. 102 ff. OR, insbesondere die Bestimmung von Art. 107 OR über die Rücktrittsmöglichkeit des Gläubigers, wenn sich der Schuldner bei zweiseitigen Verträgen in Verzug befindet, sind darauf nicht anwendbar. Die von den Eheleuten H. abgegebene einseitige Erklärung be- treffend Vertragsrücktritt hat demnach keinerlei Rechtswirkung. Die schrift- liche Vereinbarung vom 29. April 1992 ist also für die Miteigentümer der Parzelle Nr. 3982 nach wie vor verbindlich. Die Erstellung des Erschlies- sungsweges, um deren Anordnung die Eheleute U. beim Kreispräsidenten ersucht haben, ist also an sich vertraglich zwischen den Miteigentümern ge- regelt. Wie im Folgenden zu zeigen sein wird, vereitelt jedoch E. alles in Zu- sammenhang mit der Ausführung dessen, was im Vertrag geregelt wurde, ob- wohl die Eheleute U. mehrere Anstrengungen unternommen haben, die Planung und Erstellung des Erschliessungsweges gemäss Miteigentümerbe- schluss zu erreichen. … Zusammenfassend kann mithin festgestellt werden, dass ein Mitei- gentümerbeschluss über die Erstellung des Erschliessungsweges auf Par- zelle Nr. 3982 vorliegt. Auch wenn damit der Ausbau der Wegparzelle als Er- schliessungstrasse an sich vertraglich geregelt ist, wird jedoch im Ergebnis deutlich, dass die Erfüllung der schriftlichen Vereinbarung nicht mehr mög- lich ist, weil sie durch das rechtsmissbräuchliche Verhalten der Rekurrentin vereitelt wird. Demzufolge kommt subsidiär die gesetzliche Regelung zum Tragen, wonach der Richter um eine Intervention angegangen werden kann, wenn die nötige Einigung der Parteien über die Realisierung einer notwen- digen Verwaltungshandlung nicht zustande kommt. Unter diesen Umstän- den erweist sich die den Rekursgegnern erteilte Ermächtigung des Kreis- präsidenten, die Zufahrtsstrasse auf Parzelle Nr. 3982 unabhängig von der Gesuchsgegnerin und in der Ausführung frei nach ihrem Willen zu erstellen, im Ergebnis als begründet. … PZ 01 14 Verfügung vom 16. März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