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36</w:t>
      </w:r>
    </w:p>
    <w:p>
      <w:r>
        <w:t>GR Gerichte, DE</w:t>
      </w:r>
    </w:p>
    <w:p>
      <w:r>
        <w:rPr>
          <w:b/>
        </w:rPr>
        <w:t xml:space="preserve">Quelle: </w:t>
      </w:r>
      <w:r>
        <w:t>https://mcp.opencaselaw.ch/entscheid/gr_gerichte_PKG_2001_36</w:t>
      </w:r>
    </w:p>
    <w:p>
      <w:pPr>
        <w:pStyle w:val="Heading2"/>
      </w:pPr>
      <w:r>
        <w:t>Regeste</w:t>
      </w:r>
    </w:p>
    <w:p>
      <w:r>
        <w:t>Praxis Kantonsgericht |</w:t>
      </w:r>
    </w:p>
    <w:p>
      <w:r>
        <w:t>Regeste: siehe PKG-Dokument\x3Cbr\x3E | java.util.HashMap/1797211028</w:t>
      </w:r>
    </w:p>
    <w:p>
      <w:pPr>
        <w:pStyle w:val="Heading2"/>
      </w:pPr>
      <w:r>
        <w:t>Erwägungen</w:t>
      </w:r>
    </w:p>
    <w:p>
      <w:r>
        <w:rPr>
          <w:b/>
        </w:rPr>
        <w:t>E. 36</w:t>
      </w:r>
    </w:p>
    <w:p>
      <w:r>
        <w:t>155 ZGB geregelt (BGE 78 II 411). Damit sind in Art. 613 ZGB Sachen be- zeichnet, die sich zwar aus einer Anzahl von sachenrechtlich selbständigen Einzelgegenständen zusammensetzen, die aber verkehrs- oder gewohnheits- mässig zu einer ideellen Einheit zusammengefasst werden (Escher, Zürcher Kommentar zum Schweizerischen Zivilgesetzbuch, III. Band, Erbrecht, 2. Abteilung, Der Erbgang, Art. 537– 640 ZGB, 3. Aufl., Zürich 1960, N. 3 zu Art. 613 ZGB; Piotet, SPR IV/2, Erbrecht, Basel/Stuttgart 1981, S. 881 f.; See- berger, Die richterliche Erbteilung, Diss., Fribourg 1992, S. 185). Auch meh- rere Grundstücke können eine Art. 613 Abs. 1 ZGB unterstehende Sach- gesamtheit bilden, etwa wenn ihre Zusammenlegung ermöglicht, einer be- sonderen Zweckbestimmung zu entsprechen oder eine bestimmte wirt- schaftliche Funktion zu erfüllen (Piotet, a. a. O., S. 882). c)Auf der Parzelle 599 befinden sich ein Wohnhaus, zwei Ställe, Wald und Wiesland. Aufgrund des sachenrechtlichen Akzessionsprinzipes, wonach sich das Eigentum an Grund und Boden auf die darauf errichteten Bauten und die damit verbundenen Pflanzen und Quellen sowie auf andere ver- gleichbare Gegenstände erstreckt, ist aber von einer einzigen Sache auszu- gehen (vgl. Wiegand, Basler Kommentar zum Schweizerischen Privatrecht, Schweizerisches Zivilgesetzbuch II, Art. 457– 977 ZGB, Art. 1– 61 SchlT ZGB, Basel 1998, N. 66 zu Vorbemerkungen zu Art. 641 ff. ZGB). Damit be- steht keine Sachgesamtheit und kommt die besondere Teilungsvorschrift von Art. 613 ZGB entgegen der Auffassung von C. und B. nicht zur Anwen- dung. Gleichzeitig entfällt die Möglichkeit für den Kreispräsidenten, eine Zuweisung der Parzelle 599 an C. gestützt auf Art. 613 Abs. 3 ZGB vorzu- nehmen. Vielmehr ist die Regelung von Art. 611 f. ZGB anwendbar. Es stellt sich dabei die Frage, ob eine Zuweisung an C. dennoch möglich ist oder aber die strittige Parzelle 599 als Folge der Uneinigkeit unter den Erben entspre- chend dem Antrag von A. zu versilbern und der Erlös zu verteilen ist. PZ 01 12 und 18 Verfügung vom 22. Mai 2002</w:t>
      </w:r>
    </w:p>
    <w:p>
      <w:r>
        <w:rPr>
          <w:b/>
        </w:rPr>
        <w:t>E. 37</w:t>
      </w:r>
    </w:p>
    <w:p>
      <w:r>
        <w:t>– Miteigentum; Notwendige Verwaltungshandlungen (Art. 647 Ziff. 2 Abs. 1 ZGB). – Notwendige Verwaltungshandlungen können auch bau- liche Massnahmen umfassen. Selbst der Bau neuer An- lagen kann notwendig sein, wenn diese sich für die Siche- rung und den Erhalt des Zustandes oder der Gebrauchs- fähigkeit der Sache im Rahmen der ursprünglichen Zweck- bestimmung aufdrängen. – Bei notwendigen baulichen Massnahmen hat der einzelne Miteigentümer zuerst die Gemeinschaft um einen ent- sprechenden Beschluss anzugehen. Erst wenn diese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