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29 vom 23. Mai 2001</w:t>
      </w:r>
    </w:p>
    <w:p>
      <w:r>
        <w:t>GR Gerichte, 2001-05-23, DE</w:t>
      </w:r>
    </w:p>
    <w:p>
      <w:r>
        <w:rPr>
          <w:b/>
        </w:rPr>
        <w:t xml:space="preserve">Quelle: </w:t>
      </w:r>
      <w:r>
        <w:t>https://mcp.opencaselaw.ch/entscheid/gr_gerichte_PKG_2001_29</w:t>
      </w:r>
    </w:p>
    <w:p>
      <w:r>
        <w:t>FR: GR_GERICHTE PKG 2001 29 du 23 mai 2001</w:t>
      </w:r>
    </w:p>
    <w:p>
      <w:r>
        <w:t>IT: GR_GERICHTE PKG 2001 29 del 23 maggio 2001</w:t>
      </w:r>
    </w:p>
    <w:p>
      <w:pPr>
        <w:pStyle w:val="Heading2"/>
      </w:pPr>
      <w:r>
        <w:t>Regeste</w:t>
      </w:r>
    </w:p>
    <w:p>
      <w:r>
        <w:t>Praxis Kantonsgericht |</w:t>
      </w:r>
    </w:p>
    <w:p>
      <w:r>
        <w:t>Regeste: siehe PKG-Dokument\x3Cbr\x3E | java.util.HashMap/1797211028</w:t>
      </w:r>
    </w:p>
    <w:p>
      <w:pPr>
        <w:pStyle w:val="Heading2"/>
      </w:pPr>
      <w:r>
        <w:t>Erwägungen</w:t>
      </w:r>
    </w:p>
    <w:p>
      <w:r>
        <w:rPr>
          <w:b/>
        </w:rPr>
        <w:t>E. 29</w:t>
      </w:r>
    </w:p>
    <w:p>
      <w:r>
        <w:t>PKG 2001 beantragt, jedoch nicht erhalten hätte, macht dieser nicht geltend. Ebenso wenig machen die Beschwerdeführer geltend, es sei ihnen aus Gründen, die sie ohne ihr Verschulden nicht hätten beeinflussen können, unmöglich ge- wesen, vor der Beschwerdeerhebung Einsicht in die Akten zu verlangen. Die Gründe liegen somit augenscheinlich im Einflussbereich der Beschwerde- führer beziehungsweise ihres Rechtsvertreters und sind daher von ihnen zu vertreten. Funktion eines zweiten Schriftenwechsels kann und darf es nicht sein, einer Partei die Möglichkeit zu eröffnen, vor der Beschwerdeerhebung Versäumtes nachzuholen. Aus dem Umstand, dass der Rechtsvertreter der Beschwerdeführer die Beschwerde in Unkenntnis der Akten einreichen musste, lässt sich daher nichts zu Gunsten eines zweiten Schriftenwechsels ableiten. – Bezüglich der Beweisanträge ist festzuhalten, dass neue Tatsachenbehauptungen und Be- weisanträge im Beschwerdeverfahren grundsätzlich zulässig sind (Art. 139 Abs. 3 StPO in Verbindung mit Art. 18 Abs. 2 VVG). Sie müssen jedoch in- nerhalb der 20-tägigen Beschwerdefrist erfolgen. Bei dieser Frist handelt es sich – wie bereits erwähnt – um eine gesetzliche Frist, die nicht erstreckt und nur unter engsten Voraussetzungen (Art. 65a StPO) wieder hergestellt wer- den kann. … BK 01 19 Entscheid vom 11. Juli 2001</w:t>
      </w:r>
    </w:p>
    <w:p>
      <w:r>
        <w:rPr>
          <w:b/>
        </w:rPr>
        <w:t>E. 30</w:t>
      </w:r>
    </w:p>
    <w:p>
      <w:r>
        <w:t>– Beschwerdelegitimation (Art. 139 StPO). Zur Beschwerde gegen Ablehnungs- und Einstellungsverfügungen legiti- miert ist nur der unmittelbar Geschädigte. Der Gebäude- versicherungsanstalt kommt kein strafprozessuales Mit- wirkungsrecht zu, weil sie aus einem Versicherungsvertrag eine Leistung an einen unmittelbar Geschädigten zu er- bringen hat. Auch eine Subrogation der Ersatzansprüche macht die Gebäudeversicherungsanstalt nicht zur Direkt- geschädigten. Aus den Erwägungen: 1. Die Gebäudeversicherung macht zur Begründung ihrer Beschwer- delegitimation geltend, sie habe gestützt auf das kantonale Gebäudever- sicherungsgesetz wegen des Brandfalls eine Versicherungsleistung von vor- aussichtlich rund Fr. 800 000.– zu erbringen. Die genaue Schadenssumme sei noch nicht bekannt. Dies ändere jedoch nichts daran, dass die Gebäudever- sicherung geschädigt sei. Gestützt auf Art. 44 des Gebäudeversicherungs- gesetzes stehe ihr sodann ein Rückgriffsrecht gegen den Verursacher der Feuersbrunst zu.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