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28 vom 17. Januar 2001</w:t>
      </w:r>
    </w:p>
    <w:p>
      <w:r>
        <w:t>GR Gerichte, 2001-01-17, DE</w:t>
      </w:r>
    </w:p>
    <w:p>
      <w:r>
        <w:rPr>
          <w:b/>
        </w:rPr>
        <w:t xml:space="preserve">Quelle: </w:t>
      </w:r>
      <w:r>
        <w:t>https://mcp.opencaselaw.ch/entscheid/gr_gerichte_PKG_2001_28</w:t>
      </w:r>
    </w:p>
    <w:p>
      <w:r>
        <w:t>FR: GR_GERICHTE PKG 2001 28 du 17 janvier 2001</w:t>
      </w:r>
    </w:p>
    <w:p>
      <w:r>
        <w:t>IT: GR_GERICHTE PKG 2001 28 del 17 gennaio 2001</w:t>
      </w:r>
    </w:p>
    <w:p>
      <w:pPr>
        <w:pStyle w:val="Heading2"/>
      </w:pPr>
      <w:r>
        <w:t>Regeste</w:t>
      </w:r>
    </w:p>
    <w:p>
      <w:r>
        <w:t>Praxis Kantonsgericht |</w:t>
      </w:r>
    </w:p>
    <w:p>
      <w:r>
        <w:t>Regeste: siehe PKG-Dokument\x3Cbr\x3E | java.util.HashMap/1797211028</w:t>
      </w:r>
    </w:p>
    <w:p>
      <w:pPr>
        <w:pStyle w:val="Heading2"/>
      </w:pPr>
      <w:r>
        <w:t>Erwägungen</w:t>
      </w:r>
    </w:p>
    <w:p>
      <w:r>
        <w:rPr>
          <w:b/>
        </w:rPr>
        <w:t>E. 28</w:t>
      </w:r>
    </w:p>
    <w:p>
      <w:r>
        <w:t>PKG 2001 ins Urteil aufgenommen wird (vgl. PKG 1992 Nr. 37 S. 155; PKG 1991 Nr. 53 S. 174; PKG 1989 Nr. 39 S. 160). Zum anderen ist für den rechtskundig vertretenen Beschwerdeführer auch so ohne weiteres ersichtlich, welche Straftatbestände den genannten Bestimmungen (Vorwurf einer einfachen Verkehrsregelverletzung im Sinne von Art. 90 Ziff. 1 SVG durch Verstoss ge- gen Art. 31 SVG, Beherrschen des Fahrzeugs, und Art. 12 Abs. 1 VRV, Ab- stand beim Hintereinanderfahren) zugrunde liegen; dies umso mehr, als in der Sache bereits ein Strafmandat erging, in welchem die genannten Be- stimmungen in vollem Wortlaut aufgenommen wurden. Der vom Beschwer- deführer erhobene Einwand erweist sich somit ebenfalls als unbegründet. BK 01 21 Entscheid vom 23. Mai 2001</w:t>
      </w:r>
    </w:p>
    <w:p>
      <w:r>
        <w:rPr>
          <w:b/>
        </w:rPr>
        <w:t>E. 29</w:t>
      </w:r>
    </w:p>
    <w:p>
      <w:r>
        <w:t>– Beschwerde; Novenrecht, Anordnung eines zweiten Schrif- tenwechsels (Art. 139 Abs. 3 StPO i.V.m. Art. 18 Abs. 2 VVG). – Neue Tatsachenbehauptungen und Beweisanträge müs- sen im Beschwerdeverfahren innerhalb der 20-tägigen Be- schwerdefrist erfolgen. – Ein zweiter Schriftenwechsel wird im Beschwerdeverfah- ren nur angeordnet, wenn in den Vernehmlassungen zur Beschwerde neue Behauptungen oder Rechtsfragen auf- geworfen werden. Er dient somit einzig zur Wahrung des rechtlichen Gehörs. Aus den Erwägungen: 1. In ihrer Beschwerde beantragen die Beschwerdeführer zunächst einen zweiten Schriftenwechsel und behalten weitere Beweisergänzungsan- träge vor. In der Folge haben sie nach Ablauf der 20-tägigen Beschwerdefrist mehrere Beweisanträge gestellt und auch Urkunden eingereicht. Dazu ist Folgendes festzuhalten: Die Ansetzung eines zweiten Schriftenwechsels im strafrechtlichen Beschwerdeverfahren findet grundsätzlich nur statt, wenn in den Vernehmlassungen zur Beschwerde neue Behauptungen oder Rechts- fragen aufgeworfen werden. Die Entscheidung darüber, ob ein zweiter Schriftenwechsel angeordnet wird, liegt im Ermessen des Instruktionsrich- ters. Vorliegend sind die Voraussetzungen für die Ansetzung eines zweiten Schriftenwechsels offensichtlich nicht gegeben. Weder die Vernehmlassung der Staatsanwaltschaft Graubünden noch die Beschwerdeantwort der Be- schwerdegegnerin enthalten neue Behauptungen oder werfen neue Rechts- fragen auf. Das Gesuch um Ansetzung eines zweiten Schriftenwechsel wurde daher mit Verfügung des Kantonsgerichtspräsidiums vom 12. Juni 2001 ab- gelehnt. Im Übrigen begründen die Beschwerdeführer ihr Gesuch um An- setzung eines zweiten Schriftenwechsels nicht explizit. Aus der Beschwerde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