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23 vom 25. Juni 2001</w:t>
      </w:r>
    </w:p>
    <w:p>
      <w:r>
        <w:t>GR Gerichte, 2001-06-25, DE</w:t>
      </w:r>
    </w:p>
    <w:p>
      <w:r>
        <w:rPr>
          <w:b/>
        </w:rPr>
        <w:t xml:space="preserve">Quelle: </w:t>
      </w:r>
      <w:r>
        <w:t>https://mcp.opencaselaw.ch/entscheid/gr_gerichte_PKG_2001_23</w:t>
      </w:r>
    </w:p>
    <w:p>
      <w:r>
        <w:t>FR: GR_GERICHTE PKG 2001 23 du 25 juin 2001</w:t>
      </w:r>
    </w:p>
    <w:p>
      <w:r>
        <w:t>IT: GR_GERICHTE PKG 2001 23 del 25 giugno 2001</w:t>
      </w:r>
    </w:p>
    <w:p>
      <w:pPr>
        <w:pStyle w:val="Heading2"/>
      </w:pPr>
      <w:r>
        <w:t>Regeste</w:t>
      </w:r>
    </w:p>
    <w:p>
      <w:r>
        <w:t>Praxis Kantonsgericht |</w:t>
      </w:r>
    </w:p>
    <w:p>
      <w:r>
        <w:t>Regeste: siehe PKG-Dokument\x3Cbr\x3E | java.util.HashMap/1797211028</w:t>
      </w:r>
    </w:p>
    <w:p>
      <w:pPr>
        <w:pStyle w:val="Heading2"/>
      </w:pPr>
      <w:r>
        <w:t>Erwägungen</w:t>
      </w:r>
    </w:p>
    <w:p>
      <w:r>
        <w:rPr>
          <w:b/>
        </w:rPr>
        <w:t>E. 23</w:t>
      </w:r>
    </w:p>
    <w:p>
      <w:r>
        <w:t>PKG 2001 118 einem rechtskräftigen Zivilurteil hervorgehe. Wenn er nun aber auf dem Be- schwerdeweg das Konkursamt zwingen will, einem rechtskräftigen Zivilur- teil Folge zu leisten, so würde damit in die Ordnung von Art. 252 ff. ZPO ein- gegriffen. Es handelt sich um ein Abgrenzungs- und Zuständigkeitsproblem zwischen der Vollstreckung nach SchKG und der Vollstreckung eines nicht auf Geld- oder Sicherheitsleistung lautenden Anspruchs (vgl. Art. 38 Abs. 1 SchKG) nach kantonalem Recht. Wie gesehen ist der Beschwerdeführer be- reits im Besitz des Wertpapiers; es kann sich also nur um die Leistung des In- dossaments, verstanden als Abgabe einer Willenserklärung, handeln. Sofern das zu vollstreckende Urteil die Willenserklärung nicht schon selbst enthält (Art. 254 ZPO), erfolgt die Erzwingung der Abgabe einer derartigen schrift- lichen Willenserklärung der verurteilten Partei nach Massgabe der kanto- nalen Vollstreckungsregeln. Dabei gibt in letzter Konsequenz der Voll- streckungsrichter ersatzweise selbst die verweigerte Willenserklärung in einer Verfügung ab (Art. 258 ZPO; Urs Haubensak, Die Zwangsvollstre- ckung nach der zürcherischen Zivilprozessordnung, Diss., Zürich 1975, S. 33/49; Frank/Streuli/Messmer, Kommentar zur zürcherischen Zivilprozes- sordnung, 3. A. Zürich 1997, N. 1–3 zu § 308). Die Aufsichtsbehörde ist we- der sachlich zuständig, Ansprüche materiellrechtlich zu beurteilen, noch Richtersprüche auszulegen oder zu erläutern oder gar ihre Vollstreckung nach kantonalen Vollstreckungsregeln durchzusetzen. Für Letzteres ist sie selbst dann nicht zuständig, wenn dies innerhalb eines Vollstreckungsver- fahrens nach SchKG stattfinden soll. Wäre die F. SA nicht in Konkurs ge- fallen und würden sich deren Organe weigern, dem Urteil durch wertpa- pierrechtlich wirksame Indossierung des Zertifikats Folge zu leisten, müsste sich der Beschwerdeführer für die Erzwingung an den örtlich zuständigen kantonalrechtlichen Vollstreckungsrichter wenden. Dieser gesetzlich vor- geschriebene Weg der Urteilsvollstreckung kann nun nicht allein deshalb ändern, weil die F. SA mittlerweile in Konkurs gefallen ist und die Konkurs- verwaltung an Stelle ihrer Gesellschaftsorgane handelt. Zugegebenermassen dürfte es in aller Regel wenig Sinn machen, dass die Konkursverwaltung ei- nen bereits richterlich rechtskräftig festgestellten Anspruch eines Dritten auf Herausgabe einer Sache verbunden mit der Abgabe einer Willenserklärung ihrerseits für unbegründet erklärt und den Drittansprecher damit auf den Vollstreckungsweg verweist. Wie die einleitenden Erwägungen zum Urteils- dispositiv des zu vollstreckenden Urteils und zum Wertpapierrecht zeigen, ist immerhin denkbar, dass die Fragen, wie ein Richterspruch zu erfüllen ist oder ob er bereits erfüllt ist, kontrovers sein können. Diesfalls ist es legitim, das Verdikt des Vollstreckungsrichters zu erwirken. So wie die Konkursver- waltung gehalten ist, unbestrittene und fällige Ansprüche der Masse gegen Dritte nötigenfalls auf dem Vollstreckungsweg einzuziehen (Art. 243 Abs. 1 SchKG), muss der Dritte bei Weigerung der Masse gegengleich vorgehen.</w:t>
      </w:r>
    </w:p>
    <w:p>
      <w:r>
        <w:t>PKG 2001</w:t>
      </w:r>
    </w:p>
    <w:p>
      <w:r>
        <w:rPr>
          <w:b/>
        </w:rPr>
        <w:t>E. 24</w:t>
      </w:r>
    </w:p>
    <w:p>
      <w:r>
        <w:t>– Nachlassverfahren (320 SchKG). Die Unterlassung der An- meldung einer Nachlassforderung zur Kollokation kann nicht mit Aufsichtsbeschwerde gegen einen die Forderung abweisenden Beschluss des Gläubigerausschusses nach- geholt werden. Masseverbindlichkeiten fallen nicht unter den Nachlassvertrag. Die Aufsichtsbehörde hat nicht dar- über zu entscheiden, ob eine Forderung eine Nachlassfor- derung oder eine Masseverbindlichkeit darstellt. Aus den Erwägungen: 2. Nach Art. 320 SchKG unterstehen die Liquidatoren der Aufsicht und Kontrolle des Gläubigerausschusses. Gegen die Anordnungen der Li- quidatoren über die Verwertung der Aktiven kann binnen zehn Tagen seit Kenntnisnahme beim Gläubigerausschuss Einsprache erhoben und an- schliessend gegen die bezüglichen Verfügungen des Gläubigerausschusses bei der Aufsichtsbehörde Beschwerde geführt werden. Ausdrücklich sieht das Gesetz das Beschwerderecht nur hinsichtlich Verwertungsmassnahmen sowie gegen die Verteilungsliste vor (Art. 320, 326 SchKG). Es ist indessen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