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2001 22 vom 19. November 2001</w:t>
      </w:r>
    </w:p>
    <w:p>
      <w:r>
        <w:t>GR Gerichte, 2001-11-19, DE</w:t>
      </w:r>
    </w:p>
    <w:p>
      <w:r>
        <w:rPr>
          <w:b/>
        </w:rPr>
        <w:t xml:space="preserve">Quelle: </w:t>
      </w:r>
      <w:r>
        <w:t>https://mcp.opencaselaw.ch/entscheid/gr_gerichte_PKG_2001_22</w:t>
      </w:r>
    </w:p>
    <w:p>
      <w:r>
        <w:t>FR: GR_GERICHTE PKG 2001 22 du 19 novembre 2001</w:t>
      </w:r>
    </w:p>
    <w:p>
      <w:r>
        <w:t>IT: GR_GERICHTE PKG 2001 22 del 19 novembre 2001</w:t>
      </w:r>
    </w:p>
    <w:p>
      <w:pPr>
        <w:pStyle w:val="Heading2"/>
      </w:pPr>
      <w:r>
        <w:t>Regeste</w:t>
      </w:r>
    </w:p>
    <w:p>
      <w:r>
        <w:t>Praxis Kantonsgericht |</w:t>
      </w:r>
    </w:p>
    <w:p>
      <w:r>
        <w:t>Regeste: siehe PKG-Dokument\x3Cbr\x3E | java.util.HashMap/1797211028</w:t>
      </w:r>
    </w:p>
    <w:p>
      <w:pPr>
        <w:pStyle w:val="Heading2"/>
      </w:pPr>
      <w:r>
        <w:t>Erwägungen</w:t>
      </w:r>
    </w:p>
    <w:p>
      <w:r>
        <w:rPr>
          <w:b/>
        </w:rPr>
        <w:t>E. 22</w:t>
      </w:r>
    </w:p>
    <w:p>
      <w:r>
        <w:t>PKG 2001 114 die obligatorischen Formulare zu verwenden beziehungsweise rechtserheb- liche Umstände im Steigerungsprotokoll zu verurkunden. Für eine Vielzahl von Verrichtungen der Vollstreckungsbehörden be- stehen zwar obligatorische Formulare. Indessen ist das Obligatorium der Verwendung amtlicher Formulare im Betreibungsverfahren als blosse Ord- nungsvorschrift zu verstehen. Eindeutig abgefasste, alle inhaltlich notwendi- gen Angaben enthaltende Akte sind, auch wenn sie formal nicht mit dem ent- sprechenden amtlichen Formular identisch sind, rechtswirksam (BGE 87 III 64 E. 1). – Das Betreibungsamt hat das Formular VZG 13 (RFF 13) als Vor- bereitung auf die Steigerung verwendet. Darin sind die Beteiligten, Ort und Zeit der Steigerung, der Schätzungswert des Steigerungsobjekts sowie die all- gemeinen, im Formular vorgedruckten und teilweise abgeänderten Steige- rungsbedingungen sowie die besonderen Steigerungsbedingungen gemäss Art. 21 Anleitung zur VZG enthalten. Für den Beschrieb des Steigerungsob- jekts wird darin – wie üblich und zulässig – auf den im Lastenverzeichnis ent- haltenen Grundstücksbeschrieb verwiesen. Der eigentliche Akt des Zuschlags ist sodann in zwei separaten Dokumenten verurkundet. Das muss grundsätz- lich als zulässig angesehen werden, solange sich die Verbindung zum Formu- lar VZG 13 zweifelsfrei ergibt. Dies ist vorliegend der Fall. Die beiden Zu- schlagsprotokolle geben die Essentialia der Versteigerung an. Entgegen der Beschwerdeführerin ist durch die offenkundige Verbindung mit dem Formu- lar VZG 13 eineindeutig, was, wem, wann, durch wen und zu welchem Preis zugeschlagen wurde. Die Zuschlagsprotokolle sind ferner vom Steigerungslei- ter und der Erwerberin unterzeichnet, so dass die Vorgaben von Art. 61 Abs. 2 VZG, vgl. auch Art. 72/73 KOV) in optima forma erfüllt sind. Entgegen der Auffassung der Beschwerdeführerin muss die richter- lich angeordnete Grundbuchsperre nicht als besonderer Umstand im Steige- rungsprotokoll enthalten sein. Die Beschwerdeführerin verkennt die Wirkung der Grundbuchsperre. Gemäss Aktenlage wurde vorliegend die richterlich an- geordnete Sperre in Form der Anmerkung (menzione) eingetragen. Gemäss Art. 27 Abs. 2 der kantonalen Grundbuchverordnung sind von Strafverfol- gungs- oder Gerichtsbehörden erlassene Grundbuchsperren denn auch im Grundbuch anzumerken und schliessen im Umfang der Anordnung jede Ver- fügung über das Grundstück aus. Aufgrund der Tatsache, dass die Sperre grundbuchlich als Anmerkung behandelt wurde, ist zu schliessen, dass es sich um eine Grundbuch- oder Kanzleisperre des kantonalen Rechts handelt. Ihr kommt keine dingliche Wirkung zu, und es ist in ihr deshalb nicht eine Ver- fügungsbeschränkung im Sinne von Art. 960 ZGB enthalten. Sie wirkt bloss negativ, indem sie zur Aufrechterhaltung des bestehenden grundbuchlichen Zustandes der Grundbuchbehörde den Vollzug von Eintragungen verbietet (Simonius/Sutter, Schweizerisches Immobiliarsachenrecht, Bd. I, Basel 1994, § 8 N. 21/Anm. 66 mit Hinweisen auf die bundesgerichtliche Rechtsprechung).</w:t>
      </w:r>
    </w:p>
    <w:p>
      <w:r>
        <w:t>PKG 2001</w:t>
      </w:r>
    </w:p>
    <w:p>
      <w:r>
        <w:rPr>
          <w:b/>
        </w:rPr>
        <w:t>E. 23</w:t>
      </w:r>
    </w:p>
    <w:p>
      <w:r>
        <w:t>– Drittanspruch (Art. 242 SchKG, Art. 258 ZPO). Weigert sich die Masse, eine Sache herauszugeben, muss der Dritt- anspruch vor dem ordentlichen Zivilrichter durchgesetzt werden. Dies gilt auch für die Abgabe eines Indossaments durch die Konkursmasse (Erw. 2). Ein rechtskräftiges Urteil auf Übergabe eines indossierten Wertpapiers kann nicht auf dem Beschwerdeweg nach Art. 17 SchKG vollzogen werden. Die Erzwingung der Leistung eines Indossaments hat nach Massgabe des kantonalen Vollstreckungsrechts zu erfolgen (Erw. 3). Aus den Erwägungen: 2. Der Beschwerdeführer will, dass ein rechtskräftiges Zivilurteil vollzogen wird. Dieses lautet gegen die Gemeinschuldnerin, und der Dritt- anspruch befindet sich nach der Konkurseröffnung über die F. SA nunmehr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