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21</w:t>
      </w:r>
    </w:p>
    <w:p>
      <w:r>
        <w:t>GR Gerichte, DE</w:t>
      </w:r>
    </w:p>
    <w:p>
      <w:r>
        <w:rPr>
          <w:b/>
        </w:rPr>
        <w:t xml:space="preserve">Quelle: </w:t>
      </w:r>
      <w:r>
        <w:t>https://mcp.opencaselaw.ch/entscheid/gr_gerichte_PKG_2001_21</w:t>
      </w:r>
    </w:p>
    <w:p>
      <w:pPr>
        <w:pStyle w:val="Heading2"/>
      </w:pPr>
      <w:r>
        <w:t>Regeste</w:t>
      </w:r>
    </w:p>
    <w:p>
      <w:r>
        <w:t>Praxis Kantonsgericht |</w:t>
      </w:r>
    </w:p>
    <w:p>
      <w:r>
        <w:t>Regeste: siehe PKG-Dokument\x3Cbr\x3E | java.util.HashMap/1797211028</w:t>
      </w:r>
    </w:p>
    <w:p>
      <w:pPr>
        <w:pStyle w:val="Heading2"/>
      </w:pPr>
      <w:r>
        <w:t>Erwägungen</w:t>
      </w:r>
    </w:p>
    <w:p>
      <w:r>
        <w:rPr>
          <w:b/>
        </w:rPr>
        <w:t>E. 21</w:t>
      </w:r>
    </w:p>
    <w:p>
      <w:r>
        <w:t>103 Empfängers gar nicht befasst, muss sich diese Frage in jedem Fall – unab- hängig davon, ob es sich bei der Pfändungsankündigung um eine Betrei- bungsurkunde im engeren technischen Sinn handelt oder nicht – nach Art. 64– 66 SchKG beantworten (vgl. Ernst Jeker, Die Zustellung der Be- treibungsurkunden nach schweizerischem Schuldbetreibungs- und Konkurs- gesetz, Diss., Bern 1943, S. 8 –11). Das Gesetz unterscheidet die Zustellung an natürliche Personen und juristische Personen. a) Die Betreibungsurkunden werden dem Schuldner in seiner Woh- nung oder an dem Orte, wo er seinen Beruf auszuüben pflegt, zugestellt. Wird er daselbst nicht angetroffen, so kann die Zustellung an eine zu seiner Haushaltung gehörende erwachsene Person oder an einen Angestellten ge- schehen. Wird keine der erwähnten Personen angetroffen, so ist die Betrei- bungsurkunde zuhanden des Schuldners einem Gemeinde- oder Polizei- beamten zu übergeben. Steht der Schuldner unter elterlicher Gewalt oder unter Vormundschaft, so sind die Betreibungsurkunden gemäss Art. 68c Abs. 1 SchKG dem gesetzlichen Vertreter zuzustellen; hat er keinen gesetzlichen Vertreter, so werden sie der zuständigen Vormundschaftsbehörde zugestellt. Bei den physischen, natürlichen Personen befasst sich das Gesetz selbst demnach nur mit der Zustellung an den Schuldner persönlich (Art. 64 Abs. 1 1. Satz), für den Fall seiner Nichterreichbarkeit mit der Ersatzzustel- lung an andere Personen (Art. 64 Abs. 1 2. Satz) und mit der Zustellung an den gesetzlichen Vertreter (Art. 68c Abs. 1), jedoch nicht mit der Zustellung an einen Bevollmächtigten. Daraus ableiten zu wollen, das Gesetz verbiete jegliche Zustellung an einen gewillkürten, das heisst vertraglich bestellten Vertreter, ist voreilig. Nach weit verbreiterter Meinung kann eine natürliche Person als Schuldner einen Vertreter zur Entgegennahme von Betreibungs- urkunden bestimmen. Diese Bevollmächtigung ist zwangsvollstreckungs- rechtlich wirksam, wenn der Vertreter ausdrücklich zur Entgegennahme von Betreibungsakten ermächtigt wird oder ihm eine Generalvollmacht ausge- stellt wird (Jeker, a. a. O., S. 38 f.; Jolanta Kren Kostkiewicz in BlSchK 1996 S. 215; Angst, a. a. O., N. 6 zu Art. 64 SchKG; Fritzsche/Walder, a. a. O., § 14 Rz 16; Roger Zäch, Berner Kommentar, Bern 1990, N 91/93 zu Vorbemer- kungen zu Art. 32 – 40 OR; Robert Joos, Handbuch für die Betreibungsbe- amten der Schweiz, Wädenswil 1964, S. 90; BlSchK 1989 Nr. 27; BGE 43 III</w:t>
      </w:r>
    </w:p>
    <w:p>
      <w:r>
        <w:rPr>
          <w:b/>
        </w:rPr>
        <w:t>E. 22</w:t>
      </w:r>
    </w:p>
    <w:p>
      <w:r>
        <w:t>– Konkurseröffnung nach angeordneter Versteigerung (Art. 170 SchKG, Art. 293 SchKG). Der Konkursrichter kann eine vom Betreibungsamt bereits angeordnete Versteigerung nicht verbieten. Zu den vorsorglichen Massnahmen des Konkursrichters und des Nachlassrichters (Erw. 2). – Zur Verwendung von amtlichen Formularen im Betrei- bungsverfahren (Art. 61 Abs. 2 VZG). Die Zuschlagsproto- kolle bei einer Versteigerung sind jedenfalls dann rechts- wirksam, wenn sie die Vorgaben von Art. 61 Abs. 2 VZG einhalten und eine Verbindung zum Formular VZG 13 of- fenkundig ist (Erw. 3.d). – Eine kantonalrechtliche Grundbuchsperre kann den zwangsvollstreckungsrechtlichen Zuschlag nicht verhin- dern (Erw. 3.d). Aus den Erwägungen: 2. Die Beschwerdeführerin macht zunächst geltend, die Durch- führung der Versteigerung hätte aus konkurs- beziehungsweise nachlass- rechtlichen Gründen unterbleiben müssen. Dieser Ansicht ist aus mehreren Gründen nicht beizupflichten. a) Der Einwand scheitert schon am Umstand, dass der Bezirksge- richtspräsident dem Betreibungsamt tatsächlich weder direkt noch indirekt verboten hat, die Versteigerung durchzuführen und das Baurechtsgrund-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