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7 vom 28. September 2000</w:t>
      </w:r>
    </w:p>
    <w:p>
      <w:r>
        <w:t>GR Gerichte, 2000-09-28, DE</w:t>
      </w:r>
    </w:p>
    <w:p>
      <w:r>
        <w:rPr>
          <w:b/>
        </w:rPr>
        <w:t xml:space="preserve">Quelle: </w:t>
      </w:r>
      <w:r>
        <w:t>https://mcp.opencaselaw.ch/entscheid/gr_gerichte_PKG_2000_7</w:t>
      </w:r>
    </w:p>
    <w:p>
      <w:r>
        <w:t>FR: GR_GERICHTE PKG 2000 7 du 28 septembre 2000</w:t>
      </w:r>
    </w:p>
    <w:p>
      <w:r>
        <w:t>IT: GR_GERICHTE PKG 2000 7 del 28 settembre 2000</w:t>
      </w:r>
    </w:p>
    <w:p>
      <w:pPr>
        <w:pStyle w:val="Heading2"/>
      </w:pPr>
      <w:r>
        <w:t>Regeste</w:t>
      </w:r>
    </w:p>
    <w:p>
      <w:r>
        <w:t>Praxis Kantonsgericht |</w:t>
      </w:r>
    </w:p>
    <w:p>
      <w:r>
        <w:t>Regeste: siehe PKG-Dokument\x3Cbr\x3E | java.util.HashMap/1797211028</w:t>
      </w:r>
    </w:p>
    <w:p>
      <w:pPr>
        <w:pStyle w:val="Heading2"/>
      </w:pPr>
      <w:r>
        <w:t>Erwägungen</w:t>
      </w:r>
    </w:p>
    <w:p>
      <w:r>
        <w:rPr>
          <w:b/>
        </w:rPr>
        <w:t>E. 6</w:t>
      </w:r>
    </w:p>
    <w:p>
      <w:r>
        <w:t>41 einmal (so PKG 1995 6 35 E. 4c S. 42) aus der analog anwendbaren Bestim- mung von Art. 63 Abs. 2 EGzZGB, die wie oben gesehen für das vormund- schaftliche Beschwerdeverfahren vor Bezirksgerichtsausschuss festlegt, dass demjenigen, dessen Beschwerde abgewiesen werde, in der Regel die Verfah- renskosten überbunden würden. Das gleiche Ergebnis wird überdies erzielt, wenn gestützt auf den in Art. 64 Abs. 4 EGzZGB enthaltenen Verweis die einschlägigen Vorschriften der ZPO sinngemäss herangezogen werden. Über Art. 223 ZPO gelangt man so zu Art. 122 Abs. 1 ZPO, der ebenfalls vor- sieht, dass der unterliegende Teil in der Regel zur Übernahme sämtlicher Verfahrenskosten verpflichtet werde. Da die von Rechtsanwalt X in eigenem Namen eingereichte Beru- fung abgewiesen werden muss, gehen die Kosten des Verfahrens vor der Zi- vilkammer nach dem eben Gesagten zu seinen Lasten. Gründe, welche es rechtfertigen würden, im vorliegenden Fall von dieser Regel abzuweichen, sind weder ersichtlich noch wurden solche geltend gemacht. Kein Anlass besteht hingegen, Rechtsanwalt X zusätzlich zu ver- pflichten, den Berufungsbeklagten eine aussergerichtliche Entschädigung zu bezahlen. Da davon abgesehen wurde, bei ihnen eine Vernehmlassung ein- zuholen, sind ihnen durch das Verfahren vor der Zivilkammer keine nen- nenswerten Umtriebe entstanden. ZF 00 51 Urteil vom 28. September 2000 – Berufung (Art. 218 ff. ZPO). Zulässigkeit der Berufung; Streitwert (Art. 218 in Verbindung mit Art. 19 Ziff. 1 ZPO). Begründung der Berufung (Art. 227 Abs. 1 in Verbindung mit Art. 223 und Art. 109 ZPO). – Überprüfung der sachlichen Zuständigkeit der Vorinstanz durch die Rechtsmittelinstanz. Das Urteil eines – wegen Nichterreichens des Streitbetrages von über Fr. 8000.– sachlich unzuständigen Bezirksgerichts ist nicht beru- fungsfähig (Erw. 1 a– c) . – Feststellung des Streitbetrages (Art. 22 ZPO). Bei Streitig- keiten über die Gültigkeit der Kündigung eines Miet- oder Pachtvertrages entspricht der Streitwert dem bis zu der – im Zeitpunkt der Urteilsfällung – nächstmöglichen Kündi- gung fällig werdenden Miet- oder Pachtzins (Erw. 1d). – Begründung der Berufung. Der Berufungskläger hat sich in seinem Vortrag substanziert mit dem angefochtenen Urteil auseinanderzusetzen; ein pauschaler Hinweis auf das erstinstanzliche Plädoyer genügt nicht (Erw. 3, 5). – Stellvertretung; Genehmigung (Art. 38 Abs. 1 OR). Geneh-</w:t>
      </w:r>
    </w:p>
    <w:p>
      <w:r>
        <w:rPr>
          <w:b/>
        </w:rPr>
        <w:t>E. 7</w:t>
      </w:r>
    </w:p>
    <w:p>
      <w:r>
        <w:t>47 akzeptierten Pachtzins von Fr. 1100.– für die Zeit vom 1. November 1996 bis 31. März 1998 ebenfalls streitig. Andere geldwerte Interessen, die unter den Streitgegenstand des Verfahrens fallen und streitwertrelevant sind, werden von den Parteien nicht namhaft gemacht. Der Streitwert, verstanden als das ge- gensätzliche Interesse der Parteien, betrug somit Fr. 3050.– (nach Begehren des Pächters reduzierter Pachtzins für die beiden Pachtjahre bis Frühjahr 2000 Fr. 2200.– ; Pachtzinsdifferenz vom 1. November 1996 bis 31. März 1998 Fr. 850.–). Bei diesem Streitwert läge ein Einzelrichterfall gemäss Art. 17 ZPO vor, so dass auf die Berufung nicht einzutreten wäre (PKG 1994 Nr. 15, 1965 Nr. 7). Vorstehend wurde ausgeführt, dass sich der Streitwert bei Pachtkün- digung einerseits aufgrund des Pachtzinses und des Zeitraumes berechne, während dem der Vertrag fortdauern würde, wenn die Kündigung nicht gültig wäre, und sich dieser Zeitraum bis zu jenem Zeitpunkt erstrecke, auf den eine weitere Kündigung ausgesprochen werden könnte. Andererseits hat sich die Streitwertberechnung nach jenen Rechtsbegehren zu richten, die vor der letz- ten Instanz noch streitig waren. Letzteres hat vor allem im Auge, dass der Klä- ger während des Verfahrens sein Rechtsbegehren reduziert beziehungsweise der Beklagte es teilweise anerkennt. Denkbar ist aber auch, dass das Streitin- teresse des Klägers während des Verfahrens durch blossen Zeitablauf an- wächst. Das Hauptbegehren des Klägers lautete vorliegend stets und unverän- dert auf gerichtliche Feststellung, dass die Kündigung der Parzelle Nr. 259 und 265 auf Ende März 1998 nach Art. 17 LPG unzulässig sei, dass keine wichtigen Gründe im Sinne von Art. 17 LPG gegeben seien und dass die Kündigung – ge- meint ist offensichtlich nicht die Erklärung der Kündigung, sondern deren Rechtswirkungen – damit aufzuheben sei. Konnte nach der Vermittlung vom 5. Mai 1998 und nach der Prozesseingabe vom 4. Juni 1998 durch die Verpäch- terin noch eine ordentliche Kündigung des Pachtverhältnisses auf den zulässi- gen Zeitpunkt Frühjahr 2000 ausgesprochen werden, so war dies im Zeitpunkt der vorinstanzlichen Urteilsfällung am 10. April 2000, angesichts der Kündi- gungsfrist von einem Jahr gemäss Art. 16 LPG, nicht mehr möglich. In seiner quantitativen Tragweite erfuhr mithin das identische Rechtsbegehren des Pächters durch blossen Zeitablauf insofern eine Ausweitung, als sein Interesse unter Berücksichtigung der 6-jährigen Fortsetzungsdauer gemäss Art. 8 Abs. 1 lit. a LPG nunmehr zwangsläufig auf einen Weiterbestand der Pacht während</w:t>
      </w:r>
    </w:p>
    <w:p>
      <w:r>
        <w:rPr>
          <w:b/>
        </w:rPr>
        <w:t>E. 8</w:t>
      </w:r>
    </w:p>
    <w:p>
      <w:r>
        <w:t>Jahren ging. Nach der bereits dargelegten Methode ergibt sich daraus im mas- sgeblichen Zeitpunkt der vorinstanzlichen Urteilsfällung ein Streitwert von Fr. 9650.–, so dass die Sache berufungsfähig ist.Auf die Berufung ist folglich ein- zutreten. 2. Es ist unbestritten, dass das Vertragsverhältnis nur zwischen R.V. als Verpächterin und M. als Pächter besteht. Die vorliegend umstrittene Kündi- gung und sämtliche nachgehenden Verlautbarungen verpächterseits gingen demgegenüber von A.V., dem Sohn der Verpächterin, aus. Ein Vertretungsver-</w:t>
      </w:r>
    </w:p>
    <w:p>
      <w:r>
        <w:t>7 PKG 2000 48 hältnis zwischen ihm und seiner Mutter wurde beklagtenseits weder behauptet, noch geht es aus den Akten hervor. A.V. hat dabei stets und ausschliesslich in eigenem Namen gehandelt. Dies ging so weit, dass der Kläger M. eine erste Klage gegen A.V. richtete und diese zurückziehen musste, weil er im Nachhin- ein erkennen musste, dass er die falsche Partei eingeklagt hatte. Eine im Moment der Kündigung bestehende Ermächtigung von A.V. ist nicht anzuneh- men, jedenfalls nicht eine ausdrückliche. Eine stillschweigende Bevollmächti- gung und Kundgabe an die Gegenpartei könnte allenfalls darin erblickt wer- den, dass der Pächter behauptete, in den letzten Jahren habe A.V. die Liegenschaften seiner Mutter verwaltet, und er habe im Wesentlichen nur mit diesem verkehrt. Letzteres ist durch die Akten belegt und wird von der Be- klagten auch nicht in Abrede gestellt. Für den Fall, dass dennoch keine Bevoll- mächtigung anzunehmen wäre, würde der Vertretene durch die Vertreterhand- lungen nur dann verpflichtet, wenn er diese genehmigt (Art. 38 Abs. 1 OR).Von einer solchen nachgehend stillschweigenden Genehmigung der vom voll- machtlosen Sohn ausgesprochenen Kündigung durch die Verpächterin muss vorliegend ausgegangen werden, nachdem sie durch die beantragte Klageab- weisung an den Kündigungswirkungen festgehalten hat. 3. Im vorinstanzlichen Verfahren hat sich die Beklagte vornehmlich damit gewehrt, dass mehrere wichtige Gründe (Stallbenützung ohne Pachtver- trag, Vermietung des Stalles an Dritte gegen Entgelt, Beschädigung des Stalles, grobe Vernachlässigung des Stallunterhalts, Verzug bei Pachtzinszahlungen, Verunkrautung der Wiesen, Tretschäden an den Wiesen, Erstellen von Leitun- gen und Schächten ohne Erlaubnis, Überlassen von Pachtgrund an Dritte zwecks Abstellen von Geräten und als Materialdeponie) für eine vorzeitige Kündigung gegeben seien. Diese hat die Vorinstanz im Einzelnen geprüft und samt und sonders verworfen. In ihrer Berufungsbegründung hält die Beru- fungsklägerin zwar in einem Nebensatz daran fest, dass ihrer Meinung nach wichtige Gründe für eine vorzeitige Kündigung vorgelegen hätten. Mit den ein- lässlichen Erwägungen der Vorinstanz zu den einzelnen Tatsachen, welche eine Vertragsauflösung gemäss Art. 17 LPG nach Meinung der Beklagten hätten begründen sollen, setzt sie sich im Berufungsverfahren indessen nicht ausein- ander. Ein substantiierter Vortrag im Sinne von Art. 227 Abs. 1 ZPO in Verbin- dung mit Art. 223 /109 ZPO liegt nicht vor. Ob wichtige Gründe im Sinne der genannten Bestimmung vorlagen, welche die Fortführung der Pacht für die Be- rufungsklägerin unzumutbar machten, braucht daher im Berufungsverfahren nicht geprüft zu werden. 4. Die Berufungsklägerin macht mit Berufung nur noch geltend, es habe sich um eine ordentliche Kündigung gehandelt (a), beziehungsweise es sei selbst eine Kündigung aus wichtigen Gründen auf einen früheren als den ordentlichen Pachtende-Termin bei Verneinung der wichtigen Gründe auf den nächstmöglichen Termin als gültig anzusehen (b). Da der Pächter nicht</w:t>
      </w:r>
    </w:p>
    <w:p>
      <w:r>
        <w:t>PKG 2000 7 49 innert drei Monaten auf Erstreckung der Pacht geklagt habe, ende die Pacht im Jahr 2000 (c). a. Der im Berufungsverfahren erhobene Einwand des Berufungsbe- klagten, man höre von der Berufungsklägerin heute zum ersten Mal, dass ihre Erklärung vom 22. November 1997 als ordentliche Kündigung zu ver- stehen gewesen sei, ist in tatsächlicher Hinsicht unzutreffend. Den nämli- chen Standpunkt hat die Beklagte bereits im erstinstanzlichen Verfahren zu- mindest eventualiter vorgebracht. Im Übrigen kann hinsichtlich Tatsachen, welche rechtzeitig in den Prozess eingebracht worden sind, im Berufungs- verfahren ohne weiteres rechtlich anders argumentiert werden als im vorin- stanzlichen Verfahren. Ausgehend von den Umständen, dass im Kündigungsschreiben vom 22. November 1997 auf «weitere wichtige Gründe» hingewiesen und mit der Kündigung auf Ende März 1998 sowohl die Kündigungsfrist von einem Jahr als auch der Kündigungstermin von Frühjahr 2000 nicht eingehalten worden waren, ist die Vorinstanz ohne weiteres davon ausgegangen, dass es sich nur um eine vorzeitige Kündigung handeln könne. In Bezug auf die Nichtein- haltung der zeitlichen Schranken für eine ordentliche Kündigung ist dies nicht überzeugend. Es kommt vor – und das Gesetz rechnet damit –, dass sich der Kündigende hinsichtlich Kündigungsfrist und /oder Kündigungster- min irrt. Allein daraus kann weder abgeleitet werden, es habe auf Seiten des Erklärenden der Wille bestanden, eine vorzeitige Kündigung auszuspre- chen, noch dass der Erklärungsempfänger nur eine vorzeitige Kündigung habe verstehen können und müssen. Auch wenn die Begründung nicht in al- len Teilen schlüssig ist, ist der vorinstanzlichen Auslegung der Willenser- klärung im Ergebnis zuzustimmen. Die Verpächterin hat die Kündigung von sich aus einlässlich begründet, was für eine ordentliche Kündigung weder er- forderlich noch üblich gewesen wäre. Ein gewichtiges Indiz dafür, dass eine ausserordentliche Kündigung dem Willen der Erklärenden entsprach, und sie dies auch erklären wollte, ist in der Verwendung des spezifischen Begriffs «wichtige Gründe» und in der konkreten Angabe, welche Tatsachen als sol- che zu qualifizieren seien, zu sehen. Beim Begriff «wichtige Gründe» handelt es sich immerhin um einen einschlägigen Rechtsbegriff, der in diesem Zu- sammenhang auf Art. 17 LPG hinweist. Wenn man auf Grund der eigentli- chen Kündigungserklärung diesbezüglich noch Zweifel haben kann, so hat die Verpächterin diese in der Folge selbst ausgeräumt, indem sie dem Päch- ter einen Aufhebungsvertrag unterbreitete, worin dieser unterschriftlich be- stätigen sollte, dass die «Auflösung, Kündigung vorzeitig aus wichtigen Gründen nach Art. 17 LPG» erfolgte. Angesichts dieser an Klarheit nichts zu wünschen übrig lassenden Präzisierung kann es über den gewollten und ver- standenen Erklärungsinhalt der Kündigung keinen Zweifel mehr geben. Die Berufungsbeklagte macht geltend, für empfangsbedürftige ein-</w:t>
      </w:r>
    </w:p>
    <w:p>
      <w:r>
        <w:t>7 PKG 2000 50 seitige Willenserklärungen des Obligationenrechts, wie die Kündigung, sei zuerst nach dem wirklichen Willen des Erklärenden zu forschen und ihm zum Durchbruch zu verhelfen, wenn ihn der Erklärungsempfänger tatsäch- lich erkannt habe. Der Pächter habe ganz klar erkannt, dass ihm die Pacht gekündigt worden sei. Dem ist zunächst entgegen zu halten, dass auf Grund des Vereinbarungsvorschlags der Verpächterin vom 11. Januar 1998 als hin- reichend erwiesen anzusehen ist, dass ihr wirklicher Wille von Anfang an auf eine vorzeitige Kündigung gerichtet war. Entgegen der Berufungsklägerin genügt weiter nicht, dass der Pächter klar erkannt habe, dass ihm die Pacht gekündigt worden sei. Dass der Pächter den Umstand der Kündigung tatsächlich erkannt hat, muss angesichts seiner Reaktion wohl angenommen werden. Entscheidend ist jedoch, ob er eine vorzeitige oder ordentliche Kün- digung erkannt hat beziehungsweise hätte erkennen müssen. Der Pächter hat sich postwendend gegen die Kündigung gewehrt und sich dabei aus- schliesslich auf Gründe nach Art. 8 Abs. 1 und Art. 16 Abs. 2 LPG gestützt. Der von der Berufungsklägerin daraus gezogene Schluss, er habe die Kün- digung als ordentliche aufgefasst, ist nicht zwingend. Die Reaktion des Pächters kann auch dahin verstanden werden, dass er der Meinung war, dass ihm die Verpächterin nur ordentlich hätte kündigen können, sie die dafür geltenden zeitlichen Schranken jedoch nicht eingehalten hatte. Zudem ist festzustellen, dass diese Reaktion erfolgte, bevor die Verpächterin am 11. Ja- nuar 1998 unmissverständlich erklärte, die «Auflösung, Kündigung erfolgte vorzeitig aus wichtigen Gründen nach Art. 17 LPG». b. Die Berufungsklägerin macht weiter geltend, selbst für den Fall, dass die Kündigungserklärung vom 22. November 1997 als eine solche aus wichtigen Gründen auszulegen sei und auf einen früheren als den ordentli- chen Pachtende-Termin erfolgt sei, müsse sie – auch bei Verneinung wichti- ger Gründe – auf den nächstmöglichen Termin als gültige ordentliche Kün- digung angesehen werden. Dazu beruft sie sich ohne Veranlassung auf Studer/Hofer (Das landwirtschaftliche Pachtrecht, Brugg 1987, S. 170 un- ten), wo ausgeführt wird, die verspätete Kündigung, aus der hervorgeht, dass der Kündigende den Vertrag beenden will, gelte als auf den nächst- möglichen Termin gültig erfolgt. Aus der systematischen Stellung und dem Zusammenhang wird klar, dass die Kommentatoren damit nur die verspä- tete ordentliche Kündigung meinen können, denn es handelt sich um einen Kommentar zur Pachterstreckungsklage nach Art. 26 LPG, und die Erstre- ckungsklage steht nur gegen ordentliche Kündigungen gemäss Art. 16 LPG zur Verfügung (Studer/Hofer, a. a. O., S. 169 unten, mit Hinweis auf Manuel Müller, Die privatrechtlichen Bestimmungen des Bundesgesetzes über die landwirtschaftliche Pacht, in ZBJV 123 [1987] S. 23). Nichts anderes ergibt sich aus den Ausführungen der Kommentatoren zur verspäteten Kündigung bei Art. 16 LPG (Studer/Hofer, a. a. O., S. 130 oben). Die Kündigung im All-</w:t>
      </w:r>
    </w:p>
    <w:p>
      <w:r>
        <w:t>PKG 2000 7 51 gemeinen (ordentliche Kündigung) nach Art. 16 LPG, welche abgesehen von den zeitlichen Einschränkungen nach Abs. 2 und 3 derselben Bestimmung voraussetzungslos zulässig ist, und die vorzeitige Kündigung nach Art. 17 LPG, welche nur unter der Voraussetzung, dass die weitere Erfüllung des Vertrages für eine Partei aus wichtigen Gründen unzumutbar geworden ist, zulässig ist, sind strikt auseinanderzuhalten. Die Auffassung der Berufungs- klägerin, in einer ausserordentlichen Kündigung sei stets die ordentliche Kündigung enthalten, ist abzulehnen. Eine mangels Vorliegen wichtiger Gründe zu Unrecht ausgesprochene Kündigung gemäss Art. 17 LPG kann nicht in eine auf den nächstmöglichen Termin ausgesprochene ordentliche Kündigung nach Art. 16 LPG umgedeutet werden. Beides sind wohl Gestal- tungsrechte, jedoch qualitativ verschieden und mit unterschiedlichen Fol- gen. Namentlich ist festzustellen, dass die Rechtsbehelfe des Beschwerten in den beiden Fällen unterschiedlich sind; gegen die ordentliche Kündigung ist nur die Erstreckungsklage nach Art. 26 LPG und gegen die vorzeige Kündi- gung nur die Anfechtung nach Art. 48 /17 LPG gegeben. Die beiden Gestal- tungsrechte sind nicht in dem Sinne mutierbar, dass aufgrund derselben Er- klärung für den Fall, in welchem die eine Gestaltungswirkung nicht eingetreten ist, an ihre Stelle die andere tritt. Der Berufungsbeklagte hat diesbezüglich zu Recht darauf hingewiesen, dass er ansonsten verfahrens- rechtlich in eine Zwickmühle gerät, weil er nicht weiss, welchen Rechts- behelf er erheben soll beziehungsweise stets beide erheben muss, auf die si- chere Gefahr hin, eines der beiden Verfahren zu verlieren oder unter Kostenfolge zu seinen Lasten zurückziehen zu müssen. Diese Unsicherhei- ten und Risiken sind ihm nicht zuzumuten. Aus dem Begriff des Gestal- tungsrechts folgt im Allgemeinen ein Umdeutungsausschluss. Dieser reicht wohl nicht weiter als die Gebote der Klarheit, der Unbedingtheit und der Unwiderruflichkeit der Ausübung von Gestaltungsrechten und findet seine Schranken an den Grundsätzen der Rechtsanwendung von Amtes wegen und der unschädlichen Falschbezeichnung analog Art. 18 OR (BGE 123 III</w:t>
      </w:r>
    </w:p>
    <w:p>
      <w:r>
        <w:rPr>
          <w:b/>
        </w:rPr>
        <w:t>E. 12</w:t>
      </w:r>
    </w:p>
    <w:p>
      <w:r>
        <w:t>E. 3d). Angesichts der Verschiedenheit des Rechtsweges muss der Päch- ter bereits im Zeitpunkt der Erklärungsabgabe durch den Verpächter un- missverständlich wissen, ob er sich gegen eine vorzeitige oder eine ordentli- che Kündigung zu wehren hat. Es kann nicht verhindert werden, dass sich eine Vertragspartei auf Grund zweier nacheinander erfolgter Kündigungs- erklärungen der Gegenpartei zunächst gegen eine vorzeitige und anschlies- send gegen eine ordentliche Kündigung wehren muss. Verhindert werden muss indes, dass eine Partei auf Grund ein und derselben Kündigungser- klärung im Unklaren bleibt, welche Gestaltungswirkung sie ihr beimessen soll. Die Konversion einer vorzeitigen Kündigung in eine ordentliche Kün- digung der landwirtschaftlichen Pacht scheitert daher schon am Gebot der Klarheit bei der Ausübung von Gestaltungsrechten.</w:t>
      </w:r>
    </w:p>
    <w:p>
      <w:r>
        <w:t>7 PKG 2000 52 5. Die Berufungsklägerin beantragt, das angefochtene Urteil sei aufzuheben und die Anträge der Gegenpartei seien abzuweisen. Ihre Beru- fung richtet sich mithin auch gegen die Ziffer 3 des angefochtenen Urteils- dispositivs, mit welchem die Vorinstanz den Pachtzins ab dem Pachtjahr 1999 auf Fr. 1100.– jährlich festgesetzt hat. Soweit die Pachtzinshöhe betreffend, ist die Berufung schon in for- meller Hinsicht ungenügend. Der Antrag steht ohne Begründung im Rechts- sinne da, denn im blossen Hinweis «seine [des Experten] Pachtzinsschätzung ist dementsprechend ohnehin unakzeptabel» kann eine den Erfordernissen von Art. 227 Abs. 1 ZPO in Verbindung mit Art. 223 /109 ZPO genügende Begründung nicht erblickt werden. Es fehlt die sachbezogene Auseinander- setzung mit dem Resultat der Expertise und den Regeln, nach denen der zulässige landwirtschaftliche Pachtzins festzulegen ist. Der Berufungskläge- rin ist zwar insoweit zuzustimmen, als es – entgegen seiner Annahme – nicht die Aufgabe des Experten war, «abzuklären, ob die vorliegenden Schäden eine vorzeitige Auflösung des Pachtverhältnisses nach Art. 17 LPG zulas- sen». Die (Rechts-)Frage der Zulässigkeit der vorzeitigen Kündigung ent- scheidet ausschliesslich der Richter. Zweifel an der fachlichen Kompetenz und Objektivität des Sachverständigen in Bezug auf die Pachtzinsschätzung ergeben sich daraus allein jedoch nicht. Insoweit die Berufungsklägerin eine Gehörsverweigerung darin erblicken will, dass der Sachverständige allein, das heisst ohne die Verpächterin zu begrüssen, gehandelt habe, ist ihre Rüge aktenwidrig. Der Sachverständige hat die Parteien am 3. September 1999 zu seiner Besichtigung der Pachtgegenstände vom 22. September 1999 eingela- den (act. 02. IV.3 und 6). Der weitere Einwand, indem sich die Vorinstanz für die Pachtzins- festsetzung ab dem Pachtjahr 1999 auf eine Expertise vom 6. Oktober 1999 gestützt habe, habe sie auf eine rückwirkende und damit unzulässige Pacht- zinsfestsetzung erkannt, ist ebenso zu verwerfen. Zur Begründung dieser Auffassung wird pauschal auf das im vorinstanzlichen Verfahren eingelegte Plädoyer verwiesen, was zunächst formell im Lichte der vorgenannten Ver- fahrensbestimmungen ebenso unzulässig ist. Im Übrigen ist darauf hinzu- weisen, dass der Kläger seinen Antrag, den Pachtzins auf das zulässige Mass herabzusetzen, bereits am 5. Mai 1998 gestellt hat. ZF 00 57 Urteil vom 24. Oktober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