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5 vom 18. Januar 2000</w:t>
      </w:r>
    </w:p>
    <w:p>
      <w:r>
        <w:t>GR Gerichte, 2000-01-18, DE</w:t>
      </w:r>
    </w:p>
    <w:p>
      <w:r>
        <w:rPr>
          <w:b/>
        </w:rPr>
        <w:t xml:space="preserve">Quelle: </w:t>
      </w:r>
      <w:r>
        <w:t>https://mcp.opencaselaw.ch/entscheid/gr_gerichte_PKG_2000_5</w:t>
      </w:r>
    </w:p>
    <w:p>
      <w:r>
        <w:t>FR: GR_GERICHTE PKG 2000 5 du 18 janvier 2000</w:t>
      </w:r>
    </w:p>
    <w:p>
      <w:r>
        <w:t>IT: GR_GERICHTE PKG 2000 5 del 18 gennaio 2000</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Nach Art. 207 Abs. 1 SchKG werden mit Ausnahme dringlicher Fälle Zivilprozesse, in denen der Schuldner Partei ist und die den Bestand der Konkursmasse berühren, eingestellt. Sie können im ordentlichen Kon- kursverfahren frühestens 10 Tage nach der zweiten Gläubigerversammlung, im summarischen Konkursverfahren frühestens 20 Tage nach der Auflegung des Kollokationsplans wieder aufgenommen werden. Die Einstellung des Prozesses tritt von Gesetzes wegen mit der Konkurseröffnung ein, was in- dessen nicht hindert, darüber einen förmlichen Entscheid des zuständigen Richters zu erwirken (vgl. Heiner Wohlfart, Kommentar zum Bundesgesetz über Schuldbetreibung und Konkurs, SchKG II, Basel 1998, N 14 zu Art. 207). Eine derartige Sistierung setzt kumulativ ein Zweifaches voraus: Der Ausgang des Zivilprozesses hat Auswirkungen auf die Masse und der Gemeinschuldner ist im Zivilprozess Partei.</w:t>
      </w:r>
    </w:p>
    <w:p>
      <w:r>
        <w:rPr>
          <w:b/>
        </w:rPr>
        <w:t>E. 2</w:t>
      </w:r>
    </w:p>
    <w:p>
      <w:r>
        <w:t>Beim Erfordernis, dass der Ausgang des Zivilprozesses die Masse beeinflusst, ist nicht zu verlangen, dass sich ein solcher Verfahrensausgang konkret abzeichnet oder von vorneherein feststeht. Es muss genügen, wenn der Ausgang des Rechtsstreits Auswirkungen auf die Masse haben könnte, und zwar in dem Sinne, dass die Passiven oder Aktiven der Masse vergrös-</w:t>
      </w:r>
    </w:p>
    <w:p>
      <w:r>
        <w:rPr>
          <w:b/>
        </w:rPr>
        <w:t>E. 5</w:t>
      </w:r>
    </w:p>
    <w:p>
      <w:r>
        <w:t>PKG 2000 36 bar damit verbunden ist. Vorher war es das partikuläre Vollstreckungsrecht des Betreibungsgläubigers, jetzt ist es das generelle der Masse oder eines Abtretungsgläubigers, das er für sich und die Masse im Konkurs ausübt; ein Überschuss fiele in die Masse. Es fiele dogmatisch schwer zu begründen, dass in einer Pfändungs- oder Verlustscheinbetreibung dem Schuldner be- ziehungsweise in einer Anfechtungsklage, welche auf einer Pfändungsbe- treibung beruht, dem Anfechtungsbeklagten mehr weggenommen wird als die Pfändungsforderung zuzüglich Kosten. Andererseits kann der von Jaeger/ Walder/ Kull/ Kottmann (a. a. O., N 8 zu Art. 207) gezogene Schluss, ein bei Konkurseröffnung hängiger Anfechtungsprozess sei wegen Wegfall der Legitimation gegenstandslos, nicht dahin verstanden werden, dass er vom Zivilrichter aus diesem Grund sofort abzuschreiben ist. Dies wäre ver- früht. Denn je nach Gang des Konkursverfahrens (Widerruf, Einstellung, Verzicht der Masse und der einzelnen Konkursgläubiger) kann die Verfol- gungsberechtigung und daher das Beurteilungsinteresse der Anfechtungs- kläger wieder aufleben (BGE 34 II 92 f., 68 III 163 f.; Staehelin, a. a. O., N 30 zu Art. 285; Christoph Rudolf Stocker, Entscheidungsgrundlagen für die Wahl des Verfahrens im Konkurs, Diss. Zürich 1985, S. 93; so im Übrigen auch Jaeger/ Walder/ Kull/ Kottmann, a. a. O., N 24/25 zu Art. 207). Es kann nicht sein, dass die Anfechtungsklage des Betreibungsgläubigers zufolge Konkurseröffnung ohne weiteres als gegenstandslos abgeschrieben wird, auf die Gefahr hin, dass er bei völligem Desinteresse der Masse oder bei Hin- fälligkeit des Konkurses auf eigene Kosten wieder von vorne beginnen kann. Dass der Prozess nur sistiert und nicht sofort als gegenstandslos abgeschrie- ben wird, ist somit ausschliesslich darauf zurückzuführen, dass unter be- stimmten Voraussetzungen die pendente Betreibung nach Schluss des Kon- kursverfahrens weitergeführt werden kann. Das Konkursamt erwägt, ob die Aktivlegitimation auf die Masse übergegangen sei. Das ist zu verneinen beziehungsweise im vorliegenden Zu- sammenhang nicht relevant (vgl. BGE 68 III 163 f., 46 III 28). Die Aktivlegi- timation ergibt sich aus dem materiellen Recht. Nach Art. 285 Abs. 2 SchKG ist jeder Betreibungsgläubiger mit einem Pfändungsverlustschein zur An- fechtung berechtigt und im Konkurs die Masse immer. Das sich vorliegend stellende Problem ist jedoch ein solches der Prozessführungsbefugnis, wel- ches nicht von den Bestimmungen über die Anfechtungsklage (Art. 285 ff. SchKG), sondern wie gesehen durch die konkursrechtlichen Bestimmungen (Art. 197 ff. SchKG) geregelt wird (Wohlfart, a. a. O., N 1 zu Art. 207). ZF 00 41 Präsidialverfügung vom 4. Dezember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