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2000 28 vom 21. Februar 2000</w:t>
      </w:r>
    </w:p>
    <w:p>
      <w:r>
        <w:t>GR Gerichte, 2000-02-21, DE</w:t>
      </w:r>
    </w:p>
    <w:p>
      <w:r>
        <w:rPr>
          <w:b/>
        </w:rPr>
        <w:t xml:space="preserve">Quelle: </w:t>
      </w:r>
      <w:r>
        <w:t>https://mcp.opencaselaw.ch/entscheid/gr_gerichte_PKG_2000_28</w:t>
      </w:r>
    </w:p>
    <w:p>
      <w:r>
        <w:t>FR: GR_GERICHTE PKG 2000 28 du 21 février 2000</w:t>
      </w:r>
    </w:p>
    <w:p>
      <w:r>
        <w:t>IT: GR_GERICHTE PKG 2000 28 del 21 febbraio 2000</w:t>
      </w:r>
    </w:p>
    <w:p>
      <w:pPr>
        <w:pStyle w:val="Heading2"/>
      </w:pPr>
      <w:r>
        <w:t>Regeste</w:t>
      </w:r>
    </w:p>
    <w:p>
      <w:r>
        <w:t>Praxis Kantonsgericht |</w:t>
      </w:r>
    </w:p>
    <w:p>
      <w:r>
        <w:t>Regeste: siehe PKG-Dokument\x3Cbr\x3E | java.util.HashMap/1797211028</w:t>
      </w:r>
    </w:p>
    <w:p>
      <w:pPr>
        <w:pStyle w:val="Heading2"/>
      </w:pPr>
      <w:r>
        <w:t>Erwägungen</w:t>
      </w:r>
    </w:p>
    <w:p>
      <w:r>
        <w:rPr>
          <w:b/>
        </w:rPr>
        <w:t>E. 28</w:t>
      </w:r>
    </w:p>
    <w:p>
      <w:r>
        <w:t>135 ziehen. Entgegen der Meinung des Gläubigers spricht sodann die Möglich- keit oder Erwartung, dass es auch im Rahmen der Erbteilung zu einer Ver- steigerung (des Hauses) kommen wird, weil der Anteil des Schuldners an den liquiden Mitteln der Erbschaft nicht zur Deckung des Gläubigers aus- reicht, nicht a priori für die direkte Zwangsversteigerung des Anteilsrechts als solchen. Entscheidend ist, mit welcher Liquidationsart man der Ver- schleuderung besser entgegenwirkt. Angesichts der gesamten Umstände ist es zur Wahrung der Interes- sen des Schuldners, der Miterben wie auch des Gläubigers daher richtig, eine Teilung der Erbschaft nach den einschlägigen Bestimmungen des Zi- vilgesetzbuches (Art. 610 ff. ZGB) anzuordnen und durchzuführen. 3. Handelt es sich bei der aufzulösenden Gemeinschaft um eine Er- bengemeinschaft, so hat das Betreibungsamt die Vornahme der Teilung un- ter Mitwirkung der nach Art. 609 ZGB zuständigen Behörde zu verlangen (Art. 12 Satz 2 VVAG). Gemäss Art. 609 ZGB hat die Behörde – auf Ver- langen eines Gläubigers, der den Anspruch eines Erben auf eine angefal- lene Erbschaft erworben oder gepfändet hat – an Stelle dieses Erben bei der Teilung mitzuwirken. Letzter Wohnsitz des Erblassers war Igis (Kreis Fünf Dörfer). Die Eröffnung des Erbgangs erfolgt demnach für die Gesamtheit des Vermögens am letzten Wohnsitz des Erblassers (Art. 538 Abs. 1 ZGB). Da es sich bei der Frage, wie eine Erbschaft aufzulösen ist, um eine erbrechtliche und keine betreibungsrechtliche Frage handelt, ist für die Bestimmung der zuständigen Behörde die erbrechtliche Zuständig- keitsordnung massgebend. Da es sich um die Auflösung einer Erbenge- meinschaft handelt, ist gemäss Art. 12 Satz 2 VVAG in Verbindung mit Art. 9 Ziff. 12 EG zum ZGB der Kreispräsident als zuständige Behörde zur Mithilfe bei der Durchführung der Erbteilung nach den Art. 610 ff. ZGB an- zurufen. Das Kreisamt Fünf Dörfer wird daher angewiesen, auf Verlangen des Betreibungsamtes Chur bei der Liquidation des Nachlasses von J. ge- mäss Art. 609 ZGB mitzuwirken. SKA 00 5 Entscheid vom 29. März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