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24 vom 7. Juni 2000</w:t>
      </w:r>
    </w:p>
    <w:p>
      <w:r>
        <w:t>GR Gerichte, 2000-06-07, DE</w:t>
      </w:r>
    </w:p>
    <w:p>
      <w:r>
        <w:rPr>
          <w:b/>
        </w:rPr>
        <w:t xml:space="preserve">Quelle: </w:t>
      </w:r>
      <w:r>
        <w:t>https://mcp.opencaselaw.ch/entscheid/gr_gerichte_PKG_2000_24</w:t>
      </w:r>
    </w:p>
    <w:p>
      <w:r>
        <w:t>FR: GR_GERICHTE PKG 2000 24 du 7 juin 2000</w:t>
      </w:r>
    </w:p>
    <w:p>
      <w:r>
        <w:t>IT: GR_GERICHTE PKG 2000 24 del 7 giugno 2000</w:t>
      </w:r>
    </w:p>
    <w:p>
      <w:pPr>
        <w:pStyle w:val="Heading2"/>
      </w:pPr>
      <w:r>
        <w:t>Regeste</w:t>
      </w:r>
    </w:p>
    <w:p>
      <w:r>
        <w:t>Praxis Kantonsgericht |</w:t>
      </w:r>
    </w:p>
    <w:p>
      <w:r>
        <w:t>Regeste: siehe PKG-Dokument\x3Cbr\x3E | java.util.HashMap/1797211028</w:t>
      </w:r>
    </w:p>
    <w:p>
      <w:pPr>
        <w:pStyle w:val="Heading2"/>
      </w:pPr>
      <w:r>
        <w:t>Erwägungen</w:t>
      </w:r>
    </w:p>
    <w:p>
      <w:r>
        <w:rPr>
          <w:b/>
        </w:rPr>
        <w:t>E. 24</w:t>
      </w:r>
    </w:p>
    <w:p>
      <w:r>
        <w:t>PKG 2000 114 67). Ebensowenig bestehen gesetzliche Vorschriften, welche der Abschussli- ste eine besondere Bedeutung beimessen, indem sie zum Beispiel wie bei ei- ner Bilanz deren genauen Inhalt bestimmen oder andere allgemeingültige objektive Garantien statuieren, welche die Wahrheit der schriftlichen Er- klärung des Ausstellers gegenüber Dritten gewährleisten. Den Erklärungen des Jägers A. in der Abschussliste kann demnach keine erhöhte Glaubwür- digkeit beigemessen werden, da es an objektiven Umständen mangelt, welche Gewähr für die Richtigkeit seiner Angaben bieten würden. Der zur Diskus- sion stehenden Abschussliste kommt somit keine erhöhte Glaubwürdigkeit zu. Gemäss bundesgerichtlicher Rechtsprechung kann ihr demzufolge keine Urkundenqualität im Sinne des StGB zugesprochen werden. Liegt aber nach dem Gesagten im konkreten Fall gar keine Urkunde im Sinne des Strafgesetzes vor, so fehlt es bereits am objektiven Tatbestands- element eines tauglichen Tatobjekts und damit an den Voraussetzungen für die Erfüllung des objektiven Tatbestandes der Fälschung von Ausweisen gemäss Art. 252 Abs. 1 und 2 StGB. Ist der zur Diskussion stehende Straftatbestand schon in objektiver Hinsicht nicht gegeben, so erübrigt sich eine weitere Prü- fung der subjektiven Tatbestandselemente. Denn bei dieser Sachlage steht fest, dass das Verhalten von A. – die Eintragung einer falschen Höhenangabe in der Abschussliste – nicht als Fälschung von Ausweisen zu qualifizieren ist. Im Er- gebnis kann folglich festgestellt werden, dass die Vorinstanz den Berufungsklä- ger zu Unrecht der Fälschung von Ausweisen gemäss Art. 252 Abs. l und 2 StGB schuldig gesprochen hat. Die Berufung von A. ist demnach in diesem Punkte gutzuheissen, der diesbezügliche Schuldspruch des Kreisgerichtsaus- schusses ist aufzuheben und der Berufungskläger von der Anklage der Fäl- schung von Ausweisen gemäss Art. 252 Abs. 1 und 2 StGB freizusprechen. SB 00 35 Urteil vom 5. Juli 2000 d) Schuldbetreibungs- und Konkurs- beschwerden (Aufsichtsverfahren) – Einrede der Vorausverwertung des Pfandes (beneficium excussionis realis; Art. 41 Abs. 1bis SchKG). Das bei Einlei- tung der Betreibung auf Pfändung oder Konkurs erst vorläufig eingetragene gesetzliche Pfandrecht der Stock- werkeigentümergemeinschaft für Beitragsforderungen (Art. 712i, Art. 961 ZGB) berechtigt nicht zur Einrede der Vorausverwertung des Pfandes.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