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2000 18 vom 18. Oktober 2000</w:t>
      </w:r>
    </w:p>
    <w:p>
      <w:r>
        <w:t>GR Gerichte, 2000-10-18, DE</w:t>
      </w:r>
    </w:p>
    <w:p>
      <w:r>
        <w:rPr>
          <w:b/>
        </w:rPr>
        <w:t xml:space="preserve">Quelle: </w:t>
      </w:r>
      <w:r>
        <w:t>https://mcp.opencaselaw.ch/entscheid/gr_gerichte_PKG_2000_18</w:t>
      </w:r>
    </w:p>
    <w:p>
      <w:r>
        <w:t>FR: GR_GERICHTE PKG 2000 18 du 18 octobre 2000</w:t>
      </w:r>
    </w:p>
    <w:p>
      <w:r>
        <w:t>IT: GR_GERICHTE PKG 2000 18 del 18 ottobre 2000</w:t>
      </w:r>
    </w:p>
    <w:p>
      <w:pPr>
        <w:pStyle w:val="Heading2"/>
      </w:pPr>
      <w:r>
        <w:t>Regeste</w:t>
      </w:r>
    </w:p>
    <w:p>
      <w:r>
        <w:t>Praxis Kantonsgericht |</w:t>
      </w:r>
    </w:p>
    <w:p>
      <w:r>
        <w:t>Regeste: siehe PKG-Dokument\x3Cbr\x3E | java.util.HashMap/1797211028</w:t>
      </w:r>
    </w:p>
    <w:p>
      <w:pPr>
        <w:pStyle w:val="Heading2"/>
      </w:pPr>
      <w:r>
        <w:t>Erwägungen</w:t>
      </w:r>
    </w:p>
    <w:p>
      <w:r>
        <w:rPr>
          <w:b/>
        </w:rPr>
        <w:t>E. 18</w:t>
      </w:r>
    </w:p>
    <w:p>
      <w:r>
        <w:t>PKG 2000 Im vorliegenden Fall nannte L. in ihrem Strafantrag A. als Täterin. Als Begründung führte L. aus, dass sie, seit sie als Beirätin zweier Geschwis- ter von A. fungiere, von dieser vermehrt verbal belästigt worden sei. Zudem stützte sich L. auf einen handschriftlich verfassten Brief von A. vom 5. Feb- ruar 1999. Ein Schriftenvergleich werde zeigen, dass nur die Beschuldigte die Postkarte verfasst haben könne. Da L. im Zeitpunkt ihrer Strafantragstel- lung im Besitze eines Vergleichsschreibens war, und es ihr zudem im An- schluss an die Aufforderung des Kreispräsidiums S. vom 19. April 1999 auch möglich war, maschinengeschriebene Vergleichsdokumente einzureichen, stützte sie ihren Strafantrag nicht nur auf Vermutungen, sondern war ihr A. im Sinne der Rechtsprechung und Lehre als Täterin «bekannt». Folglich war sie durchaus berechtigt, in ihrer Ehrverletzungsklage vom 17. Februar 1999 A. als Täterin zu bezeichnen. Zusammenfassend und bezogen auf den konkreten Einwand der Be- rufungsklägerin gilt es somit festzuhalten, dass sich A. nicht auf Art. 163 Abs. 3 StPO berufen kann, da diese Bestimmung – wie oben ausgeführt – einzig dann zur Anwendung kommt, wenn eine in der Ehre verletzte Person Strafanzeige gegen Unbekannt eingereicht hatte. Oder mit anderen Worten weist Art. 163 Abs. 3 StPO einzig den Kreispräsidenten darauf hin, dass er nach Erhalt einer Strafanzeige gegen Unbekannt ein polizeiliches Ermitt- lungsverfahren anzuordnen hat. SB 00 42 Urteil vom 18. Oktober 2000 – Fristwahrung bei Einsprache gegen ein Strafmandat (Art. 174 StPO). Durch die Aufforderung des Kreispräsidenten zur Stellungnahme (Art. 170 StPO) entsteht – anders als durch die vor Einleitung des Strafmandatsverfahrens er- folgte blosse polizeiliche Einvernahme – ein (Straf-)Pro- zessrechtsverhältnis, das eine Empfangspflicht für Ge- richtsurkunden begründet. Die Frist zur Einsprache gegen das Strafmandat beginnt diesfalls mit der fingierten Zu- stellung am letzten Tag der Abholfrist der Post zu laufen. Erwägungen: a) Nach Art. 174 StPO können der Angeschuldigte und der Staatsan- walt innert 10 Tagen seit Zustellung des Strafmandats schriftlich beim Kreis- präsidenten Einsprache erheben. Die Einsprachefrist ist peremptorischer Natur und daher nicht erstreckbar (vgl. W. Padrutt, Kommentar zur StPO Graubünden, 2. Aufl., Chur 1996, S. 446). Sie beginnt für den Betroffenen vom Empfang des Mandats an zu laufen (vgl. PKG 1983 Nr. 32). Wird das Strafmandat eingeschrieben gesendet, so ist die Gerichtsurkunde nach bun- 97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