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4 vom 18. Mai 1999</w:t>
      </w:r>
    </w:p>
    <w:p>
      <w:r>
        <w:t>GR Gerichte, 1999-05-18, DE</w:t>
      </w:r>
    </w:p>
    <w:p>
      <w:r>
        <w:rPr>
          <w:b/>
        </w:rPr>
        <w:t xml:space="preserve">Quelle: </w:t>
      </w:r>
      <w:r>
        <w:t>https://mcp.opencaselaw.ch/entscheid/gr_gerichte_PKG_1999_4</w:t>
      </w:r>
    </w:p>
    <w:p>
      <w:r>
        <w:t>FR: GR_GERICHTE PKG 1999 4 du 18 mai 1999</w:t>
      </w:r>
    </w:p>
    <w:p>
      <w:r>
        <w:t>IT: GR_GERICHTE PKG 1999 4 del 18 maggio 1999</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29 grund des Prinzips der Nichtrückwirkung gelangt eigentlich Art. 316 1 aSchKG zur Anwendung; dessen Fassung entspricht jedoch wörtlich dem neuen Artikel (vgl. Staehelin/Bauer/Staehelin, Kommentar zum Bundesge- setz über Schuldbetreibung und Konkurs, Basel 1998, N 2 zu Art. 325 SchKG) - regelt die Abtretung von Ansprüchen der Masse an die Gläubiger und übernimmt im Nachlassvertrag ein schon im Konkurs vorgesehenes Sy- stem. Wenn Liquidatoren oder Gläubigerausschuss auf die Geltendmachung eines bestrittenen oder schwer einbringlichen Anspruchs verzichten, so müs- sen sie denselben den Gläubigern zur Abtretung anbieten. Hierbei gelten die aus der Auslegung von Art. 260 SchKG entwickelten Grundsätze voll- umfänglich auch für die vorliegende Bestimmung (Staehelin/Bauer/Staehe- lin, a. a. O., N 14 zu Art. 325 SchKG). Zur Abtretung der streitigen Verantwortlichkeitsansprüche aus dem Kaufvertrag vom 1. März 1988 an A. und B. liegt nur gerade die Abtretungs- erklärung vom 10. / 17. / 28. Juni 1996 bei den Akten, welche seitens der C. AG in Nachlassliquidation vom Liquidator P unterzeichnet wurde. Darüber, dass etwa der Gläubigerausschuss - immerhin ergibt sich aus dem Rund- schreiben an die Gläubiger vom 14. Januar 1994, dass ein solcher bestand - auf die Geltendmachung dieses Anspruches verzichtet bzw. einen derartigen Entscheid des Liquidators genehmigt hätte, findet sich nichts. Ebensowenig wurde - wie der Berufungsbeklagte des weiteren einwendet - ein Inventar oder ein Kollokationsplan eingereicht, aus welchem sich die Gläubigerei- genschaft der Berufungskläger - nur zur Liquidation zugelassene Gläubiger können eine Abtretung für sich beanspruchen - einwandfrei ergeben würde. Auf diese Problemkreise braucht indes ebensowenig weiter eingegangen zu werden wie auf die Folgen des Fehlens einer förmlichen Abtretungsbeschei- nigung des Liquidators. Denn jedenfalls ist nicht nachgewiesen und lässt sich den Akten auch kein Anhaltspunkt entnehmen, dass den Gläubigern der C. AG in Nachlassliquidation durch Rundschreiben oder öffentliche Bekannt- machung der beabsichtigte Verzicht angezeigt und ihnen die Abtretung des streitigen Verantwortlichkeitsanspruches zu eigener Geltendmachung ange- boten worden wäre. Mit Blick auf die durch den Liquidator P über die frag- liche Abtretung vom 10. / 17. /28. Juni 1996 edierten Unterlagen ist vielmehr das Gegenteil anzunehmen. Erfolgte aber die dem vorliegenden Prozess zu- grunde liegende Abtretung durch den Liquidator an A. und B., ohne dass den (anderen) Gläubigern der C. AG in Nachlassliquidation Gelegenheit eingeräumt worden wäre, zur Frage des Verzichts Stellung zu nehmen sowie insbesondere auch ein Abtretungsbegehren zu stellen, sind diese mithin in Verletzung des Grundsatzes der Gleichbehandlung vollständig übergangen worden, so ist die Abtretung als nichtig zu betrachten und die Nichtigkeit auch im vorliegenden Prozess zu beachten (vgl. zum Ganzen BGE 118 III 57 ff., 86 III 20 ff., 79 III 6 ff.; Staehelin/Bauer/Staehelin, a. a. O., N 22 zu Art.</w:t>
      </w:r>
    </w:p>
    <w:p>
      <w:r>
        <w:t>30</w:t>
      </w:r>
    </w:p>
    <w:p>
      <w:r>
        <w:rPr>
          <w:b/>
        </w:rPr>
        <w:t>E. 5</w:t>
      </w:r>
    </w:p>
    <w:p>
      <w:r>
        <w:t>PKG 1999 260 SchKG). Sind jedoch die Berufungskläger folglich nicht legitimiert, den streitigen Verantwortlichkeitsanspruch gegen den Kanton Graubünden gel- tend zu machen, so ist jedenfalls im Ergebnis nicht zu beanstanden, dass die Vorinstanz die Klage abgewiesen hat. ZF 98 76 Urteil vom 22. Februar 1999 Die gegen dieses Urteil eingereichte staatsrechtliche Beschwerde wurde vom Bundesgericht am 22. Juni I999 abgewiesen. Verfassungsmässiger Richter; vollständige Besetzung des Gerichts; Auswechslung von Gerichtspersonen (Art. 58, Art. 4 aBV; Art. 24 GVG). Vom Grundsatz der vollständigen Besetzung des Gerichts darf nur mit Zustimmung der Par- teien abgewichen werden, ansonsten das Urteil aufzuhe- ben und die Sache zur Neubeurteilung in ordnungsge- mässer Besetzung zurückzuweisen ist. Voraussetzungen für die Zulässigkeit der Auswechslung von Gerichtsperso- nen ohne erneute Äusserungsmöglichkeit der Parteien. Aus den Erwägungen: Art. 58 Abs. 1 BV gibt jedem Verfahrensbeteiligten unter anderem einen Anspruch darauf, dass die erkennende richterliche Behörde richtig zu- sammengesetzt ist, sie also vollzählig und ohne Anwesenheit Unbefugter entscheidet (Garantie des gesetzlichen Richters; vgl. Rene Rhinow/Hein- rich Koller/ Christina Kiss, Öffentliches Prozessrecht und Justizverfassungs- recht des Bundes, Basel und Frankfurt am Main 1996, Rz. 139, 144, 369; Alfred Kölz, Kommentar zur Bundesverfassung der Schweizerischen Eidge- nossenschaft, Bd. III, Art. 58 BV [Stand Dezember 1990], Rz. 7, 13). Vom Grundsatz der vollständigen Besetzung des Spruchkörpers darf freilich ab- gewichen werden, wenn sich die Parteien hiermit einverstanden erklärt ha- ben (vgl. Rhinow/Koller/Kiss, a. a. O., Rz. 144). Entsprechend bestimmt Art. 24 Abs. 1 GVG, dass die Gerichte vollständig besetzt sein müssten, während Abs. 2 vorsieht, es könne ausnahmsweise (bei unvorhergesehenem Ausbleiben oder Ausscheiden einzelner Richter) mit Einwilligung der Par- teien auch in reduzierter Besetzung getagt werden, bei Fünfergerichten, wenn wenigstens drei, und bei Dreiergerichten, wenn wenigstens zwei Rich- ter Einsitz nähmen. Die Verletzung des Anspruchs auf den verfassungsmässi- gen Richter gemäss Art. 58 Abs. 1 BV, der nebst dem bereits erwähnten An- spruch auf den gesetzlichen Richter auch den Anspruch auf einen unabhängigen und unparteiischen Richter umfasst (vgl. Rhinow/Koller/Kiss, a. a. O., Rz. 139), kann im Weiterzugsverfahren nicht geheilt werden; ein 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