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38 vom 15. Dezember 1999</w:t>
      </w:r>
    </w:p>
    <w:p>
      <w:r>
        <w:t>GR Gerichte, 1999-12-15, DE</w:t>
      </w:r>
    </w:p>
    <w:p>
      <w:r>
        <w:rPr>
          <w:b/>
        </w:rPr>
        <w:t xml:space="preserve">Quelle: </w:t>
      </w:r>
      <w:r>
        <w:t>https://mcp.opencaselaw.ch/entscheid/gr_gerichte_PKG_1999_38</w:t>
      </w:r>
    </w:p>
    <w:p>
      <w:r>
        <w:t>FR: GR_GERICHTE PKG 1999 38 du 15 décembre 1999</w:t>
      </w:r>
    </w:p>
    <w:p>
      <w:r>
        <w:t>IT: GR_GERICHTE PKG 1999 38 del 15 dicembre 1999</w:t>
      </w:r>
    </w:p>
    <w:p>
      <w:pPr>
        <w:pStyle w:val="Heading2"/>
      </w:pPr>
      <w:r>
        <w:t>Regeste</w:t>
      </w:r>
    </w:p>
    <w:p>
      <w:r>
        <w:t>Praxis Kantonsgericht |</w:t>
      </w:r>
    </w:p>
    <w:p>
      <w:r>
        <w:t>Regeste: siehe PKG-Dokument\x3Cbr\x3E | java.util.HashMap/1797211028</w:t>
      </w:r>
    </w:p>
    <w:p>
      <w:pPr>
        <w:pStyle w:val="Heading2"/>
      </w:pPr>
      <w:r>
        <w:t>Erwägungen</w:t>
      </w:r>
    </w:p>
    <w:p>
      <w:r>
        <w:rPr>
          <w:b/>
        </w:rPr>
        <w:t>E. 38</w:t>
      </w:r>
    </w:p>
    <w:p>
      <w:r>
        <w:t>gerade in Fällen, in denen es um strafrechtliche Delikte innerhalb der Fami- lie geht - insbesondere wie in casu bei Missbrauch von Kindern -, nicht von der Hand gewiesen werden. Die Gefährdung ist hier konkret in der Bezie- hung der Mutter zum Vater gegeben. Dabei ist wesentlich, dass der Interes- senkonflikt auch während des Scheidungsprozesses besteht. Zwar ist in die- ser Situation nicht zu befürchten, dass die Mutter aus Rücksicht auf den Vater die Interessen des Kindes vernachlässigt. Dagegen besteht jedoch die Gefahr, dass sie in der Konfrontation mit dem Vater ihre eigenen Interessen der Pflicht des Kindes zu Beistand, Rücksicht und Achtung gegenüber dem Va- ter, die sie als Vertreterin auch erfüllen müsste, voranstellt. Hinzu kommt das besondere Problem, dass ihr eigenes Interesse an Leistungen nach Art. 151/152 ZGB bei begrenzter Leistungsfähigkeit des Vaters dem Interesse des Kindes an einer Genugtuungssumme widersprechen kann (vgl. dazu Schwen- zer, a. a. O., N 5 zu Art. 306 sowie insb. C. Hegnauer, ZVW 1994, S. 152 f.). Da- bei gilt es nochmals zu betonen, dass bereits die abstrakte Gefährdung der In- teressen des Vertretenen genügt. Diese ist, wie sich aus den vorstehenden Erwägungen deutlich ergibt, im konkreten Fall gegeben. Eine Vertretung des Kindes T. durch ihre Mutter ist also infolge der Gefahr einer Interessenkolli- sion in Bezug auf die vorliegende Beschwerdeerhebung ausgeschlossen. Da- bei ist zu erwähnen, dass der Interessenkonflikt nicht dadurch gelöst werden kann, dass die Mutter eine andere Anwältin als im Scheidungsverfahren mit der Vertretung des Kindes betraut, denn sie bleibt für beide Rechtsvertrete- rinnen weisungsbefugt (vgl. C. Hegnauer, a. a. O., 5.154). Vielmehr hat die Vormundschaftsbehörde zur Lösung des Interessenkonfliktes dem Kind gemäss Art. 392 Ziff. 2 ZGB einen Beistand zu bestellen. Im vorliegenden Fall wurde dies unterlassen. Jedenfalls ist aus den Akten nicht zu entnehmen, dass ein Beistand für T. ernannt wurde. Wie oben ausführlich dargelegt wurde, ent- fällt aber die Vertretungsmacht des gesetzlichen Vertreters, sobald eine In- teressenkollision vorliegt, und nicht erst mit der Bestellung eines Beistands. Im Ergebnis steht somit einerseits fest, dass T. aufgrund ihres Kin- desalters nicht selbst Beschwerde erheben kann, sondern dazu eines zur Pro- zessführung in ihrem Namen befugten Vertreters bedarf. Zum andern wurde deutlich dargelegt, dass die Mutter unter den gegebenen Umständen nicht berechtigt ist, als gesetzliche Vertreterin im Namen ihrer Tochter Beschwer- de gegen die Einstellungsverfügung der Staatsanwaltschaft Graubünden in Sachen gegen ihren in Scheidung stehenden Ehemann und Vater ihrer Toch- ter zu erheben. Ebenso ergibt sich, dass für T. kein Vertretungsbeistand er- nannt wurde. Kann aber die Beschwerdeführerin wegen mangelnder Pro- zessfähigkeit nicht für sich selbst handeln und fehlt es zudem an einem Vertreter, der zur Beschwerdeführung legitimiert ist, so ist auf die vorlie- gende Beschwerde nicht einzutreten. BK 99 36 Entscheid vom 25. August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