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PKG 1999 18 vom 17. Dezember 1998</w:t>
      </w:r>
    </w:p>
    <w:p>
      <w:r>
        <w:t>GR Gerichte, 1998-12-17, DE</w:t>
      </w:r>
    </w:p>
    <w:p>
      <w:r>
        <w:rPr>
          <w:b/>
        </w:rPr>
        <w:t xml:space="preserve">Quelle: </w:t>
      </w:r>
      <w:r>
        <w:t>https://mcp.opencaselaw.ch/entscheid/gr_gerichte_PKG_1999_18</w:t>
      </w:r>
    </w:p>
    <w:p>
      <w:r>
        <w:t>FR: GR_GERICHTE PKG 1999 18 du 17 décembre 1998</w:t>
      </w:r>
    </w:p>
    <w:p>
      <w:r>
        <w:t>IT: GR_GERICHTE PKG 1999 18 del 17 dicembre 1998</w:t>
      </w:r>
    </w:p>
    <w:p>
      <w:pPr>
        <w:pStyle w:val="Heading2"/>
      </w:pPr>
      <w:r>
        <w:t>Regeste</w:t>
      </w:r>
    </w:p>
    <w:p>
      <w:r>
        <w:t>Praxis Kantonsgericht |</w:t>
      </w:r>
    </w:p>
    <w:p>
      <w:r>
        <w:t>Regeste: siehe PKG-Dokument\x3Cbr\x3E | java.util.HashMap/1797211028</w:t>
      </w:r>
    </w:p>
    <w:p>
      <w:pPr>
        <w:pStyle w:val="Heading2"/>
      </w:pPr>
      <w:r>
        <w:t>Erwägungen</w:t>
      </w:r>
    </w:p>
    <w:p>
      <w:r>
        <w:rPr>
          <w:b/>
        </w:rPr>
        <w:t>E. 18</w:t>
      </w:r>
    </w:p>
    <w:p>
      <w:r>
        <w:t>PKG 1999 66 legt und auch den Kantonen keine das Gemeinwesen gegenüber den priva- ten Gläubigern privilegierende Kompetenz erteilt, sie betreibungsrechtlich für den Bereich der Verwaltung verbindlich festzulegen. Das Bundesrecht regelt die Kosten des Betreibungsverfahrens abschliessend (BGE 123 III 271 E. 4c). Die bezeichnete Departementsverfügung vom 5. Januar 1999 gibt der kantonalen Verwaltung vielmehr lediglich das Recht, die entsprechen- den Gebühren und Entschädigungen zu fordern; ob sie indessen zugespro- chen werden können, hängt vom Ausgang des jeweiligen Verfahrens ab. Kei- nesfalls werden sie dadurch zu Betreibungskosten im Sinne des SchKG, noch besteht dafür von vornherein ein definitiver Rechtsöffnungstitel im Sinne von Art. 80 SchKG. Wollte man das Gegenteil annehmen, so liefe dies dar- auf hinaus, dass dem Schuldner keine Möglichkeit gegeben wäre, dem Zwangszugriff in sein Vermögen durch Bestreitung entgegenzutreten. Für eine solche Beschränkung der Verteidigungsrechte eines betriebenen Schuldners fehlt jede gesetzliche Grundlage (BGE 62 III 16). In betrei- bungsrechtlichen Summarsachen (Art. 25 Ziff. 2 SchKG), wozu das Rechts- öffnungsverfahren gehört (Art. 137 Ziff. 2 ZPO), kann das Gericht gemäss Art. 62 Abs. 1 der vom Bundesrat erlassenen Gebührenverordnung zum SchKG (GebVSchKG) der obsiegenden Partei auf Verlangen für Zeitver- säumnisse und Auslagen auf Kosten der unterliegenden Partei eine ange- messene Entschädigung zusprechen, deren Höhe im Entscheid festzusetzen ist. Obsiegt die kantonale Verwaltung in einem solchen Verfahren, so kann sie Parteikosten gemäss Departementsverfügung vom 5. Januar 1999 geltend machen. Über die Höhe der Entschädigung entscheidet indessen das Ge- richt und erst der Entscheid des Gerichts stellt einen definitiven Rechtsöff- nungstitel im Sinne von Art. 80 SchKG dar. Unterliegt hingegen die kanto- nale Verwaltung in einem solchen Verfahren, so hat sie keinen Anspruch auf Entschädigung. Sie wird dann im Gegenteil als unterliegende Partei die ob- siegende Partei zu entschädigen haben. Der Hinweis auf Art. 85 OR wäre ebenfalls nicht behelflich. Im Ge- gensatz zu den Betreibungskosten gemäss Art. 68 SchKG, zu welchen die in der GebVSchKG festgelegten Kosten des Zahlungsbefehls gehören, handelt es sich - wie bereits erwähnt - bei den hier zu behandelnden Mahn- und Betreibungsgebühren um für den Rechtsöffnungsrichter bislang nicht ver- bindlich festgelegte Parteikosten, für welche kein Anspruch auf definitive Rechtsöffnung besteht. Sind solche Kosten bestritten oder eben nicht ver- bindlich festgesetzt, so darf der Gläubiger bei einer Teilzahlung im Sinne von Art. 85 OR dieselbe eben nur auf die Hauptschuld samt Zinsen sowie allen- falls nicht bestrittene oder bereits verbindlich festgelegte Kosten anrechnen (vgl. Weber, Berner Kommentar, Band VI, 1. Abteilung, 4. Teilband, N 20 zu Art. 85; BGE 121 III 432). Für Mahn- und Betreibungskosten als Partei- kosten kann erst dann definitive Rechtsöffnung erteilt werden, wenn diese</w:t>
      </w:r>
    </w:p>
    <w:p>
      <w:r>
        <w:t>PKG 1999</w:t>
      </w:r>
    </w:p>
    <w:p>
      <w:r>
        <w:rPr>
          <w:b/>
        </w:rPr>
        <w:t>E. 19</w:t>
      </w:r>
    </w:p>
    <w:p>
      <w:r>
        <w:t>67 individuell konkret auferlegt und dem Schuldner in einer entsprechenden Verfügung, gegen welche er sich zur Wehr setzen darf, eröffnet worden sind. SKG 99 42 Urteil vom 13. Oktober 1999 Provisorische Rechtsöffnung (Art. 82 SchKG); Überein- kommen über die gerichtliche Zuständigkeit und die Voll- streckung gerichtlicher Entscheidungen in Zivil- und Han- delssachen (Art. 3, Art. 16 Ziff. 5 LugÜ. - Die sich aus dem LugÜ ergebende Unzuständigkeit des Rechtsöffnungsrichters kann - anders als die mittels Beschwerde gemäss Art. 17 SchKG geltend zu machen- de örtliche Unzuständigkeit des Betreibungsamtes zum Erlass des Zahlungsbefehls - im Rechtsöffnungs- verfahren geltend gemacht werden. Zulässigkeit der Einreichung neuer Urkunden zu der von Amtes wegen zu prüfenden Frage der Zuständigkeit des Rechtsöff- nungsrichters im Beschwerdeverfahren (Art. 236 Abs. 3, Art. 233 Abs. 2 ZPO) (Erw. 1). - Bestimmung und Nachweis des Wohnsitzes bzw. ge- wöhnlichen Aufenthalts im internationalen Verhältnis ( Art. 52 LugÜ; Art. 20 IPRG) ( Erw. 2). Aus den Erwägungen: 1. Gemäss Art. 84 Abs. 1 SchKG entscheidet der Richter des Betrei- bungsortes über Gesuche um Rechtsöffnung, wobei Betreibungsort derje- nige Ort ist, an dem die Betreibung, für welche die Rechtsöffnung verlangt wird, eingeleitet wurde. Die Unzuständigkeitseinrede muss gegenüber dem Zahlungsbefehl mit Beschwerde gemäss Art. 17 SchKG geltend gemacht werden, ansonsten ist sie gegenüber dem am selben Ort angehobenen Rechtsöffnungsverfahren verwirkt. Wurde ein Zahlungsbefehl an einem un- zuständigen Ort, also nicht dem rechtmässigen Betreibungsort erlassen, so ist er trotzdem nicht nichtig, sondern bloss anfechtbar, da zu diesem Zeit- punkt keine Interessen Dritter betroffen werden. Folglich kann im Rechts- öffnungsverfahren die Zuständigkeit des Rechtsöffnungsrichters nicht durch die Behauptung, die Betreibung am falschen Ort sei nichtig, bestritten werden. Dies gilt sowohl für das Verfahren betreffend Erteilung der defini- tiven wie auch der provisorischen Rechtsöffnung. Einschränkungen gibt es hingegen bei der Zuständigkeit für die Erteilung der provisorischen Rechts- öffnung durch das LugÜ (Staehelin /Bauer /Staehelin, Kommentar zum Bundesgesetz über Schuldbetreibung und Konkurs, SchKG I, Art. 1- 87, Ba- sel/Genf/München 1998, N 3, N 18 ff. zu Art. 84).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