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4 vom 20. Januar 1998</w:t>
      </w:r>
    </w:p>
    <w:p>
      <w:r>
        <w:t>GR Gerichte, 1998-01-20, DE</w:t>
      </w:r>
    </w:p>
    <w:p>
      <w:r>
        <w:rPr>
          <w:b/>
        </w:rPr>
        <w:t xml:space="preserve">Quelle: </w:t>
      </w:r>
      <w:r>
        <w:t>https://mcp.opencaselaw.ch/entscheid/gr_gerichte_PKG_1998_4</w:t>
      </w:r>
    </w:p>
    <w:p>
      <w:r>
        <w:t>FR: GR_GERICHTE PKG 1998 4 du 20 janvier 1998</w:t>
      </w:r>
    </w:p>
    <w:p>
      <w:r>
        <w:t>IT: GR_GERICHTE PKG 1998 4 del 20 gennaio 1998</w:t>
      </w:r>
    </w:p>
    <w:p>
      <w:pPr>
        <w:pStyle w:val="Heading2"/>
      </w:pPr>
      <w:r>
        <w:t>Regeste</w:t>
      </w:r>
    </w:p>
    <w:p>
      <w:r>
        <w:t>Praxis Kantonsgericht |</w:t>
      </w:r>
    </w:p>
    <w:p>
      <w:r>
        <w:t>Regeste: siehe PKG-Dokument\x3Cbr\x3E | java.util.HashMap/1797211028</w:t>
      </w:r>
    </w:p>
    <w:p>
      <w:pPr>
        <w:pStyle w:val="Heading2"/>
      </w:pPr>
      <w:r>
        <w:t>Erwägungen</w:t>
      </w:r>
    </w:p>
    <w:p>
      <w:r>
        <w:rPr>
          <w:b/>
        </w:rPr>
        <w:t>E. 4</w:t>
      </w:r>
    </w:p>
    <w:p>
      <w:r>
        <w:t>14</w:t>
      </w:r>
    </w:p>
    <w:p>
      <w:r>
        <w:t>recht sei der Rechtsbeistand vom Betroffenen zu entschädigen, wenn der Betroffene einen freigewählten Rechtsbeistand bestellt habe. Wie dem Ver- weis in der erwähnten Bestimmung des Einführungsgesetzes zum Zivil- gesetzbuch zu entnehmen ist, richten sich die Voraussetzungen und die Zu- ständigkeit bezüglich der unentgeltlichen Prozessführung nach der Zivil- prozessordnung, wo diese in den Art. 42 ff. geregelt ist. Art. 42 Abs. 2 ZPO schreibt vor, dass eine Partei die Befugnis zur unentgeltlichen Prozessfüh- rung durch ein vom Vorstand der Wohngemeinde ausgestelltes Zeugnis er- langt, wobei auch die Vorausetzungen angeführt werden, welche zur Ge- währung der unentgeltlichen Prozessführung erfüllt sein müssen. Aus dieser Bestimmung ergibt sich, dass schon die erste Instanz nicht kompetent war, über die Frage der unentgeltlichen Prozessführung zu befinden, und dass auch das Kantonsgericht nicht zuständig ist, dies zu tun. Auf das unter der Ziffer 5 formulierte Rechtsbegehren kann somit nicht eingetreten werden. ZF 97 74 Urteil vom 20. Januar 1998</w:t>
      </w:r>
    </w:p>
    <w:p>
      <w:r>
        <w:rPr>
          <w:b/>
        </w:rPr>
        <w:t>E. 5</w:t>
      </w:r>
    </w:p>
    <w:p>
      <w:r>
        <w:t>Subjektiv-dingliche Forderung (Bestimmung des Gläubi- gers durch die dingliche Berechtigung an einer Sache). Verpflichtung zur Lieferung von Gratisenergie als Gegen- leistung für die Ablösung ehehafter Wasserrechte in casu qualifiziert als subjektiv-dingliche Forderung des jeweili- gen Eigentümers eines Grundstücks für die Bedürfnisse dieses Grundstücks. Abgrenzung der subjektiv-dinglichen Forderung von Dienstbarkeit, Grundlast und Realobliga- tion. Aus den Erwägungen: 2. a) Auszugehen ist im vorliegenden Fall von dem am 30. Oktober 1953 zwischen der C. AG und der Firma Z. abgeschlossenen Vertrag. Wie be- reits dargestellt, kamen die Parteien gemäss Art 5 des Vertrages überein, dass die C. AG der Firma Z. während der in Art. 7 festgesetzten Dauer ent- weder durch eigene Lieferung oder durch Vermittlung einer Drittfirma jähr- lich maximal 180000 kWh elektrische Energie unentgeltlich zur Verfügung stellt. Die Energie wird laut Art. 6 der Vereinbarung «bei» der Sägerei Z. zur Verfügung gestellt; sie darf nur zum eigenen Gebrauch auf dem Grundstück der Sägerei Z. sowie im Dr. U. Z. gehörenden Wohnhaus verwendet werden; jede Weiterleitung und jeder Weiterverkauf sind ausgeschlossen. In Art. 10 des Vertrages erklärten Frau E. Z. sowie Dr. U. Z., dass sie durch die Leis- tungen, welche die C. AG gemäss diesem Vertrag erbracht habe und noch er- bringen werde, für ihre sämtlichen Ansprüche aus den untergehenden Was- serrechten vollständig abgefunden worden seien.</w:t>
      </w:r>
    </w:p>
    <w:p>
      <w:r>
        <w:t>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