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22 vom 18. Februar 1998</w:t>
      </w:r>
    </w:p>
    <w:p>
      <w:r>
        <w:t>GR Gerichte, 1998-02-18, DE</w:t>
      </w:r>
    </w:p>
    <w:p>
      <w:r>
        <w:rPr>
          <w:b/>
        </w:rPr>
        <w:t xml:space="preserve">Quelle: </w:t>
      </w:r>
      <w:r>
        <w:t>https://mcp.opencaselaw.ch/entscheid/gr_gerichte_PKG_1998_22</w:t>
      </w:r>
    </w:p>
    <w:p>
      <w:r>
        <w:t>FR: GR_GERICHTE PKG 1998 22 du 18 février 1998</w:t>
      </w:r>
    </w:p>
    <w:p>
      <w:r>
        <w:t>IT: GR_GERICHTE PKG 1998 22 del 18 febbraio 1998</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Abschreibungsbeschluss des Bezirksgerichtes ist nicht im Sta- dium der Prozesseinleitung oder -vorbereitung ergangen, sondern erst nach Durchführung des gesamten erstinstanzlichen Verfahrens im Anschluss an die Hauptverhandlung. Es stellt sich die Frage, ob der Entscheid der Beru- fung an das Kantonsgericht oder der Beschwerde an den Kantonsgerichts- ausschuss unterliegt. Gemäss Art. 232 Abs. 1 ZPO kann beim Kantons- gerichtsausschuss wegen Gesetzesverletzung Beschwerde geführt werden gegen nicht berufungsfähige Urteile sowie prozesserledigende Entscheide der Einzelrichter, des Bezirksgerichtsausschusses und des Bezirksgerichtes. Bereits in PKG 1989 Nr. 16 hat das Kantonsgericht festgehalten, dass nach der Terminologie des Gesetzes mit nicht berufungsfähigen Urteilen Sachur- teile und mit prozesserledigenden Entscheiden das Verfahren beendigende Prozessurteile gemeint seien und gegen alle das Verfahren abschliessende Prozessurteile die Beschwerde gegeben sei. Gegen Prozessurteile ist also auch in berufungsfähigen Streitsachen 23 -</w:t>
      </w:r>
    </w:p>
    <w:p>
      <w:r>
        <w:t>99 ausschliesslich das Rechtsmittel der Beschwerde gegeben. Im Regelfall bietet die Unterscheidung nach der Rechtsnatur des Anfechtungsobjektes keine praktischen Probleme, da sich aus Dispositiv und Begründung des Entscheides ohne weiteres ergibt, ob ein Sach- oder Prozessurteil vorliegt. Letztlich entscheidet sich aber die Frage, ob ein Sach- oder Prozessurteil vorliegt, nicht nach der Bezeichnung des 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