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37</w:t>
      </w:r>
    </w:p>
    <w:p>
      <w:r>
        <w:t>GR Gerichte, DE</w:t>
      </w:r>
    </w:p>
    <w:p>
      <w:r>
        <w:rPr>
          <w:b/>
        </w:rPr>
        <w:t xml:space="preserve">Quelle: </w:t>
      </w:r>
      <w:r>
        <w:t>https://mcp.opencaselaw.ch/entscheid/gr_gerichte_PKG_1997_37</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StPO). Dies hat zur Folge, dass gegen Entscheide des Staatsanwaltes betref- fen den Ausstand eines Untersuchungsorgans kein kantonales Rechtsmittel zur Verfügung steht, auch nicht die Beschwerde an die Beschwerdekammer des Kantonsgerichts (vgl. Urteil der Beschwerdekammer vom 26. August 1986 i. S. L., BK 29/86). Offen stehen würde einzig das ausserordentliche Rechtsmittel der staatsrechtlichen Beschwerde an das Bundesgericht, welche innert dreissig Tagen, von der nach dem kantonalen Recht massgebenden Eröffnung oder Mitteilung der Verfügung an gerechnet, dem Bundesgericht schriftlich einzureichen ist (vgl. Art. 89 OG; Padrutt, Kommentar zur Straf- prozessordnung des Kantons Graubünden [StPO], 2. Auflage, Chur 1996, Ziff. 5 in fine zu Art. 74a StPO). Die Verfügung des Staatsanwaltes vom 28. Oktober 1996, in welcher der Staatsanwalt das von der Beschwerdeführerin am 18. Oktober 1996 gestellte Ausstandsbegehren</w:t>
      </w:r>
    </w:p>
    <w:p>
      <w:r>
        <w:t>166 gegen den Untersu- chungsrichter und die Sachbearbeiterin ablehnte, enthielt daher zu Recht keine Rechtsmittelbelehrung (vgl. Art. 134 Abs. 1 StPO). Es kann aufgrund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