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1997 32 vom 22. Oktober 1996</w:t>
      </w:r>
    </w:p>
    <w:p>
      <w:r>
        <w:t>GR Gerichte, 1996-10-22, DE</w:t>
      </w:r>
    </w:p>
    <w:p>
      <w:r>
        <w:rPr>
          <w:b/>
        </w:rPr>
        <w:t xml:space="preserve">Quelle: </w:t>
      </w:r>
      <w:r>
        <w:t>https://mcp.opencaselaw.ch/entscheid/gr_gerichte_PKG_1997_32</w:t>
      </w:r>
    </w:p>
    <w:p>
      <w:r>
        <w:t>FR: GR_GERICHTE PKG 1997 32 du 22 octobre 1996</w:t>
      </w:r>
    </w:p>
    <w:p>
      <w:r>
        <w:t>IT: GR_GERICHTE PKG 1997 32 del 22 ottobre 1996</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OR). Vorliegend sind diese Voraus- setzungen zweifellos erfüllt, insbesondere ist auch das Merkmal der Gegen- seitigkeit zu bejahen, denn Gläubiger der Kaufpreisforderung ist - trotz be- treibungsamtlicher Versteigerung - F und nicht etwa das Betreibungsamt. Schliesslich ist auch zu beachten, dass sich der Verrechnungsgegner F nicht im Konkurs befindet und demnach die in Art. 213 und Art. 214 SchKG sta- tuierten Einschränkungen der Verrechenbarkeit hier keine Geltung erlan- gen. Vorliegend hat die Bank X. eine Grundpfandbetreibung angehoben, weshalb nichts gegen die Anwendbarkeit der allgemeinen Normen von Art. 120 ff. OR spricht. Sind die Bestimmungen von Art. 120 ff. OR in der vorlie- genden Betreibung auf Grundpfandverwertung uneingeschränkt anwend- bar, so durfte die Bank X ihre Forderung über Fr. 1645 000.- ohne weiteres mit der Kaufpreisschuld über Fr. 1059 047.- verrechnen. Die Beschwerde ist demnach in Bestätigung der vorinstanzlichen Verfügung abzuweisen. SKA 97 26 Entscheid vom 30. Juni 1997 33 - Feststellung der Konkursmasse; Inventaraufnahme ( Art. 221 SchKG). Im Konkursinventar sind auch streiti- ge und zweifelhafte Ansprüche - in casu umstrittene Entschädigungsansprüche der konkursiten Mieterin aus wertvermehrenden Investitionen - aufzunehmen. Erwägungen:</w:t>
      </w:r>
    </w:p>
    <w:p>
      <w:r>
        <w:rPr>
          <w:b/>
        </w:rPr>
        <w:t>E. 2</w:t>
      </w:r>
    </w:p>
    <w:p>
      <w:r>
        <w:t>Im Konkurs wird das gesamte Vermögen des Gemeinschuldners liquidiert. Damit eine solche Generalexekution stattfinden kann, muss vor- gängig sämtliches Vermögen des Gemeinschuldners zuverlässig festgestellt</w:t>
      </w:r>
    </w:p>
    <w:p>
      <w:r>
        <w:t>127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