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1997 25 vom 20. August 1997</w:t>
      </w:r>
    </w:p>
    <w:p>
      <w:r>
        <w:t>GR Gerichte, 1997-08-20, DE</w:t>
      </w:r>
    </w:p>
    <w:p>
      <w:r>
        <w:rPr>
          <w:b/>
        </w:rPr>
        <w:t xml:space="preserve">Quelle: </w:t>
      </w:r>
      <w:r>
        <w:t>https://mcp.opencaselaw.ch/entscheid/gr_gerichte_PKG_1997_25</w:t>
      </w:r>
    </w:p>
    <w:p>
      <w:r>
        <w:t>FR: GR_GERICHTE PKG 1997 25 du 20 août 1997</w:t>
      </w:r>
    </w:p>
    <w:p>
      <w:r>
        <w:t>IT: GR_GERICHTE PKG 1997 25 del 20 agosto 1997</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Der Berufungskläger geht auf das angefochtene Strafurteil ma- teriell nicht ein; er macht ausschliesslich die Verletzung seiner Verfahrens- rechte im vorinstanzlichen Gerichtsverfahren, namentlich seines Rechts, gehört zu werden, geltend. Das ist zulässig, können doch gemäss Art. 142 Abs. 1 StPO nicht bloss inhaltliche Mängel des erstinstanzlichen Entscheides, sondern auch beziehungsweise Mängel des Gerichtsverfahrens allein gerügt werden. Auf die im übrigen frist- und formgerecht eingelegte Berufung ist daher einzutreten. Die Berufung ist im wesentlichen damit begründet, der Berufungs- kläger sei wegen seiner ungenügenden Italienischkenntnisse nicht in der Lage, sich vor einem italienischsprachigen Gericht gegen eine in Italienisch abgefasste Anklage zu verteidigen und sich gegen ein italienisch abgefasstes Urteil zu wehren. Der Berufungskläger beantragt ausdrücklich, es sei die Ver-</w:t>
      </w:r>
    </w:p>
    <w:p>
      <w:r>
        <w:t>115 handlung vor dem Kreisgerichtsausschuss Misox - unter Wahrung seiner Ver- fahrensrechte - zu wiederholen. Auch dies ist zulässig. Die strafrechtliche Be- rufung hat zwar in der Regel reformatorische Wirkung; das Urteil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