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1997 24 vom 4. Juni 1997</w:t>
      </w:r>
    </w:p>
    <w:p>
      <w:r>
        <w:t>GR Gerichte, 1997-06-04, DE</w:t>
      </w:r>
    </w:p>
    <w:p>
      <w:r>
        <w:rPr>
          <w:b/>
        </w:rPr>
        <w:t xml:space="preserve">Quelle: </w:t>
      </w:r>
      <w:r>
        <w:t>https://mcp.opencaselaw.ch/entscheid/gr_gerichte_PKG_1997_24</w:t>
      </w:r>
    </w:p>
    <w:p>
      <w:r>
        <w:t>FR: GR_GERICHTE PKG 1997 24 du 4 juin 1997</w:t>
      </w:r>
    </w:p>
    <w:p>
      <w:r>
        <w:t>IT: GR_GERICHTE PKG 1997 24 del 4 giugno 1997</w:t>
      </w:r>
    </w:p>
    <w:p>
      <w:pPr>
        <w:pStyle w:val="Heading2"/>
      </w:pPr>
      <w:r>
        <w:t>Regeste</w:t>
      </w:r>
    </w:p>
    <w:p>
      <w:r>
        <w:t>Praxis Kantonsgericht |</w:t>
      </w:r>
    </w:p>
    <w:p>
      <w:r>
        <w:t>Regeste: siehe PKG-Dokument\x3Cbr\x3E | java.util.HashMap/1797211028</w:t>
      </w:r>
    </w:p>
    <w:p>
      <w:pPr>
        <w:pStyle w:val="Heading2"/>
      </w:pPr>
      <w:r>
        <w:t>Erwägungen</w:t>
      </w:r>
    </w:p>
    <w:p>
      <w:r>
        <w:rPr>
          <w:b/>
        </w:rPr>
        <w:t>E. 25</w:t>
      </w:r>
    </w:p>
    <w:p>
      <w:r>
        <w:t>- Fahren in angetrunkenem Zustand; Vereitelung der Blutprobe; Konkurrenzfragen (Art. 91 Abs. 1 und 3 SVG). Feststellung der Angetrunkenheit ( Art. 55 SVG, Art. 138 VZV); zur Voraussetzung des Vorliegens wichtiger Gründe für eine zwangsweise Durchführung der Blut- probe (Art. 138 Abs. 5 VZV). Verbot der Verwertung ei- ner - mangels Vorliegens wichtiger Gründe im Sinne von Art. 138 Abs. 5 VZV - rechtswidrig erlangten Blut- probe. Aus den Erwägungen: 2.a) Wer in angetrunkenem Zustand ein Motorfahrzeug führt, wird gemäss Art. 91 Abs. 1 SVG mit Gefängnis oder mit Busse bestraft. Der gleichen Strafandrohung untersteht, wer sich vorsätzlich einer Blutprobe, die angeordnet wurde oder mit deren Anordnung er rechnen musste, oder einer zusätzlichen ärztlichen Untersuchung widersetzt oder entzieht oder den Zweck dieser Massnahme vereitelt (Art. 91 Abs. 3 SVG).</w:t>
      </w:r>
    </w:p>
    <w:p>
      <w:r>
        <w:t>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