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41 vom 11. Juli 1995</w:t>
      </w:r>
    </w:p>
    <w:p>
      <w:r>
        <w:t>GR Gerichte, 1995-07-11, DE</w:t>
      </w:r>
    </w:p>
    <w:p>
      <w:r>
        <w:rPr>
          <w:b/>
        </w:rPr>
        <w:t xml:space="preserve">Quelle: </w:t>
      </w:r>
      <w:r>
        <w:t>https://mcp.opencaselaw.ch/entscheid/gr_gerichte_PKG_1995_41</w:t>
      </w:r>
    </w:p>
    <w:p>
      <w:r>
        <w:t>FR: GR_GERICHTE PKG 1995 41 du 11 juillet 1995</w:t>
      </w:r>
    </w:p>
    <w:p>
      <w:r>
        <w:t>IT: GR_GERICHTE PKG 1995 41 del 11 luglio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Kontrovers ist vorliegend im wesentlichen die Frage, ob das Ei- gentum an der Leasingsache (Hogatron-Anlage) von der Konkursverwal- tung - sei es vom Konkursamt A oder von dem für das Konkursamt A rechts- hilfeweise handelnden Konkursamt B - zugunsten der Leasinggeberin rechtswirksam ausgesondert, das heisst als Drittmannsgut aus der Konkurs- masse ausgeschieden worden ist, oder ob die erwähnte Sache als Zugehör zum Hotelgrundstück zu qualifizieren ist und damit in die Konkursmasse gehört. Uneinigkeit besteht des weiteren über die verfahrensrechtliche Frage, in welchem der beiden Verfahren, Aussonderung oder Lastenbereini- gungs- und Kollokationsklageverfahren der Streit zu entscheiden sei.</w:t>
      </w:r>
    </w:p>
    <w:p>
      <w:r>
        <w:rPr>
          <w:b/>
        </w:rPr>
        <w:t>E. 2</w:t>
      </w:r>
    </w:p>
    <w:p>
      <w:r>
        <w:t>Auszugehen ist zunächst von den Wirkungen der Konkurseröff- nung auf das Vermögen des Gemeinschuldners. Mit der 42 -</w:t>
      </w:r>
    </w:p>
    <w:p>
      <w:r>
        <w:t>149 Konkurseröffnung wird das gesamte in diesem Zeitpunkt vorhandene und ihm im Verlaufe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