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40 vom 9. November 1994</w:t>
      </w:r>
    </w:p>
    <w:p>
      <w:r>
        <w:t>GR Gerichte, 1994-11-09, DE</w:t>
      </w:r>
    </w:p>
    <w:p>
      <w:r>
        <w:rPr>
          <w:b/>
        </w:rPr>
        <w:t xml:space="preserve">Quelle: </w:t>
      </w:r>
      <w:r>
        <w:t>https://mcp.opencaselaw.ch/entscheid/gr_gerichte_PKG_1995_40</w:t>
      </w:r>
    </w:p>
    <w:p>
      <w:r>
        <w:t>FR: GR_GERICHTE PKG 1995 40 du 9 novembre 1994</w:t>
      </w:r>
    </w:p>
    <w:p>
      <w:r>
        <w:t>IT: GR_GERICHTE PKG 1995 40 del 9 novembre 1994</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Der Entscheid über die Eröffnung des Konkurses weist das SchKG dem Richter zu (Art. 166 Abs. 1 SchKG). Findet der Konkursrich- ter in diesem Verfahren von sich aus, dass der Schuldner nicht der Kon- kursbetreibung unterliegt oder dass ein nicht handlungsfähiger Schuldner in gesetzwidriger Weise betrieben ist, so setzt er seine Erkenntnis aus und überweist den Fall der Aufsichtsbehörde. Der Beschluss der Aufsichts- behörde wird dem Konkursgericht mitgeteilt, worauf das gerichtliche (Kon- kurs) Erkenntnis erfolgt (Art. 173 Abs. 2 und 3 SchKG). Die Betreibung auf Konkurs eines nicht der Konkursbetreibung unterliegenen Schuldners oder eines handlungsunfähigen Schuldners sind krasse Fälle gesetzwidriger Be- treibungshandlungen. Sie stellen nichtige Verfügungen dar, die stets und von allen Behörden und Richtern in jedem Stadium des Verfahrens von Amtes wegen festzustellen sind (vgl. die noch nicht in Kraft stehende Neufassung von Art. 173 Abs. 2 SchKG und Art. 22 Abs. 2 SchKG der Änderung des Bundesgesetzes über Schuldbetreibung und Konkurs vom 16. Dezember 1994). Das</w:t>
      </w:r>
    </w:p>
    <w:p>
      <w:r>
        <w:t>138 Bundesgericht hat in konstanter Rechtsprechung Art. 173 Abs. 2 SchKG auf den Fall der örtlichen Unzuständigkeit ausgedehnt (BGE 51 III 158 f., 54 III181, 118 III6, Pra 59 [1970] Nr. 85). Ergeben sich entspre-</w:t>
      </w:r>
    </w:p>
    <w:p>
      <w:r>
        <w:t>139 chende Anhaltspunkte, hat der Konkursrichter von Amtes wegen der Frage nachzugehen, ob die Vorschriften über den Betreibungsort eingehalten wor- den sind. Einen selbständigen Entscheid über seine Unzuständigkeit fällt er jedoch nur dann, wenn seine Unzuständigkeit von vorneherein offenkundig ist. Über diesen Fall hinaus ist der Konkursrichter nicht befugt, über den Betreibungsstand und damit über die örtliche Zuständigkeit des Betrei- bungsamtes, welches die Konkursandrohung erlassen hat, zu befinden. Nur die Aufsichtsbehörden über Schuldbetreibung und Konkurs sind legitimiert, die Nichtigkeit einer von einem örtlich unzuständigen Betreibungsamt er- lassenen Konkursandrohung festzustellen (Pra 59 [1970] Nr. 85, S. 293, Ziff. 2). Die gesetzlich vorgeschriebene Überweisung vom Konkursrichter an die Aufsichtsbehörde gemäss Art. 173 Abs. 2 SchKG ist die zwangsläufige Folge der gesetzlichen Kompetenzausscheidung des SchKG zwischen Auf- sichtsbehörden und Gerichten. Es sind die Aufsichtsbehörden, die über die Beachtung des Betreibungsstandes zu wachen haben (Art. 17 Abs. 1 in Ver- bindung mit Art. 46 ff. und 159 SchKG). Eine offenkundige örtliche Unzu- ständigkeit im Kreis Schiers konnte vom Kreispräsidenten, als Konkurs- richter dieses Kreises, nicht festgestellt werden, ist doch der Schuldner als einzelzeichnungsberechtigtes Mitglied einer GmbH mit Sitz in diesem Kreis im Handelsregister des Kantons Graubünden eingetragen. Darüber hinaus war die in Chur angehobene Betreibung im Kreis Schiers zur Fortsetzung gelangt, was dafür spricht, dass die Betreibungsämter die Frage des Betrei- bungsstandes abgeklärt und zugunsten von Grüsch entschieden hatten. Dem trat der Schuldner mit der Einlage einer aktuellen Wohnsitzbeschei- nigung der Stadt Chur entgegen. Bei dieser Sachlage war für den Konkurs- richter nicht auszuschliessen, dass sich der Betreibungsstand gegen X in Chur befinden könnte. Bei dieser Sachlage waren die Zweifel des Kon- kursrichters berechtigt, und es ist auf sein Gesuch im Sinne von Art. 173 Abs. 2 SchKG demnach einzutreten.</w:t>
      </w:r>
    </w:p>
    <w:p>
      <w:r>
        <w:rPr>
          <w:b/>
        </w:rPr>
        <w:t>E. 2</w:t>
      </w:r>
    </w:p>
    <w:p>
      <w:r>
        <w:t>Beantragt wird, die mit dem Ehe- und Erbvertrag zu Eigentum der Ehegattin des Konkursiten erklärten Vermögenswerte beziehungsweise die damit zusammenhängenden Haftungs- und Anfechtungsansprüche seien in das Konkursinventar aufzunehmen. Insoweit die Beschwerdeführerin die Aufnahme der einzelnen Gegenstände aus der Inventarliste des Ehe- und Erbvertrages als solche in das Konkursinventar verlangt, ist die Beschwerde abzuweisen. Zu Recht stellt die Beschwerdeführerin nicht in Frage, dass die Ehegattin</w:t>
      </w:r>
    </w:p>
    <w:p>
      <w:r>
        <w:t>144 des Konkursiten mit Ehe- und Erbvertrag vom 5. März 1994 Ei- gentümerin der darin aufgeführten Sachen geworden ist. Unbestritten ist 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