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15 vom 24. März 1995</w:t>
      </w:r>
    </w:p>
    <w:p>
      <w:r>
        <w:t>GR Gerichte, 1995-03-24, DE</w:t>
      </w:r>
    </w:p>
    <w:p>
      <w:r>
        <w:rPr>
          <w:b/>
        </w:rPr>
        <w:t xml:space="preserve">Quelle: </w:t>
      </w:r>
      <w:r>
        <w:t>https://mcp.opencaselaw.ch/entscheid/gr_gerichte_PKG_1995_15</w:t>
      </w:r>
    </w:p>
    <w:p>
      <w:r>
        <w:t>FR: GR_GERICHTE PKG 1995 15 du 24 mars 1995</w:t>
      </w:r>
    </w:p>
    <w:p>
      <w:r>
        <w:t>IT: GR_GERICHTE PKG 1995 15 del 24 marzo 1995</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ihrer Berufungsanträge die volle Kosten- und Entschädi- gungsfolge vor allen Instanzen zu Lasten der Gegenpartei.</w:t>
      </w:r>
    </w:p>
    <w:p>
      <w:r>
        <w:t>b) Nicht eingetreten werden kann dagegen auf die Berufung, soweit damit die vorinstanzliche Regelung der Rentenfrage angefochten wird, stellt 69</w:t>
      </w:r>
    </w:p>
    <w:p>
      <w:r>
        <w:t>die Berufungsklägerin hier doch lediglich den Antrag auf Aufhebung von Ziffer 2 des Urteils des Bezirksgerichtes. Daraus ist nun wohl ersichtlich, dass die Berufungsklägerin in diesem Punkt mit dem erstinstanzlichen Urteil nicht zufrieden ist; in welchem Sinn sie dieses jedoch abgeändert haben will, etwa welche Höhe der Rente sie zugesprochen erhalten will, ergibt sich daraus in- des ebensowenig wie ihre Haltung zu der von der Vorinstanz vorgenomme- nen Befristung der Rente. In einem solchen Fall aber - wie dies der Rechts- vertreter der Klägerin fordert - einfach unbesehen auf den vor der Vorin- stanz gestellten Antrag abzustellen, geht nicht an, wird doch eine Prozess- partei, wenn einmal das begründete erstinstanzliche Urteil vorliegt, aus welchem die Gründe für ihr Unterliegen bzw. nicht vollständiges Durchdrin- gen ersichtlich sind, sicherlich nicht jedesmal vor der Rechtsmittelinstanz an jenen Anträgen festhalten und wiederum dasselbe fordern. Innerhalb des in der Rentenfrage möglichen Rahmens - die Vorinstanz hat eine Bedürftig- keitsrente von Fr. 1000.- bis zum 62. Altersjahr gesprochen, die Klägerin be- gehrte eine Rente gestützt auf Art. 151 oder 152 ZGB von Fr. 3000.- bis zum 62. Altersjahr und danach eine solche von Fr. 2000.- - bestehen nun aber of- fenkundig derart viele Möglichkeiten in Bezug auf die Höhe, die Abstufung und Befristung einer Rente, dass sich der diesbezügliche Wille der Beru- fungsklägerin aufgrund der Berufungserklärung und auch den übrigen Um- ständen nicht einmal annähernd bestimmen lässt. In der der Dispositionsma- xime unterliegenden Rentenfrage ist deshalb - wie sich aus den einleitenden grundsätzlichen Überlegungen ergibt - grundsätzlich deren Bezifferung zu verlangen, damit Gericht und Gegenpartei genau wissen, worauf die Beru- fung abzielt und worauf sie sich vorzubereiten haben. Fehlt aber in dieser Hinsicht ein bestimmter Berufungsantrag und lässt dieser deshalb Gericht und Gegenpartei im Ungewissen, welchen Betrag sie unter diesem Titel zu- gesprochen erhalten haben will und wie sie sich zur von der Vorinstanz vor- genommenen Befristung der Rente stellt, so ist auf die Berufung in diesem Punkte nicht einzutreten. ZF 63/95 Urteil vom 7. November 1995 16 - Berufung; Anschlussberufung (Art. 218 ff., Art. 220 ZPO). Wer selbst Berufung eingelegt hat, kann auf die Berufung der Gegenpartei hin nicht auch noch eine Anschlussberu- fung einreichen. Erwägungen: Mit ihrer Berufung ficht K. das erstinstanzliche Urteil lediglich in Be- zug auf das Güterrecht und die Verteilung der Kosten an. D. verlangt mit sei- ner Berufung ebenfalls eine Aufhebung und Abänderung des Urteils bezüg-</w:t>
      </w:r>
    </w:p>
    <w:p>
      <w:r>
        <w:t>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