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2017 10 vom 2. März 2017</w:t>
      </w:r>
    </w:p>
    <w:p>
      <w:r>
        <w:t>GR Gerichte, 2017-03-02, DE</w:t>
      </w:r>
    </w:p>
    <w:p>
      <w:r>
        <w:rPr>
          <w:b/>
        </w:rPr>
        <w:t xml:space="preserve">Quelle: </w:t>
      </w:r>
      <w:r>
        <w:t>https://mcp.opencaselaw.ch/entscheid/gr_gerichte_KSK_2017_10</w:t>
      </w:r>
    </w:p>
    <w:p>
      <w:r>
        <w:t>FR: GR_GERICHTE KSK 2017 10 du 2 mars 2017</w:t>
      </w:r>
    </w:p>
    <w:p>
      <w:r>
        <w:t>IT: GR_GERICHTE KSK 2017 10 del 2 marzo 2017</w:t>
      </w:r>
    </w:p>
    <w:p>
      <w:pPr>
        <w:pStyle w:val="Heading2"/>
      </w:pPr>
      <w:r>
        <w:t>Regeste</w:t>
      </w:r>
    </w:p>
    <w:p>
      <w:r>
        <w:t>Inventar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März 2017 Entscheid Schuldbetreibungs- und Konkurskammer als Aufsichtsbehörde über Schuldbetreibung und Konkurs Präsident Brunner In der Schuldbetreibungs- und Konkursbeschwerde des X._____, Beschwerdeführer, vertreten durch Rechtsanwältin Dr. iur. Sabina Nüesch, Bellerivestrasse 7, 8008 Zürich, gegen das Inventar im Konkurs der Y._____, 7302 Landquart, vom 12. Januar 2017, des Betreibungs- und Konkursamtes Landquart, betreffend Inventar,</w:t>
      </w:r>
    </w:p>
    <w:p>
      <w:r>
        <w:t>Seite 2 — 4 wird nach Einsichtnahme in die Beschwerde vom 02. Februar 2017 samt mitge- reichten Akten, in die Vernehmlassung des Betreibungs- und Konkursamtes Lan- dquart vom 20. Februar 2017 samt mitgereichten Verfahrensakten sowie nach Feststellung und in Erwägung, – dass der Einzelrichter am Bezirksgericht Landquart am 4. Januar 2016 über die Y._____ mit Sitz in O.1_____ den Konkurs eröffnete und mit Entscheid vom 3. Februar 2016 die Durchführung des Konkurses im summarischen Ver- fahren anordnete, – dass das Betreibungs- und Konkursamt Landquart am 12. Januar 2017 das Inventar im Konkurs Nr. _____ aufnahm und vom 23. Januar bis 2. Februar 2017 für die Gläubiger auflegte, – dass in diesem Inventar unter Ziff. 11 pro memoria das nicht einbezahlte Akti- enkapital über CHF 288'000.00 des Aktionärs X._____ aufgeführt wurde, – dass X._____ dagegen am 2. Februar 2017 beim Kantonsgericht von Graubünden als Aufsichtsbehörde über Schuldbetreibung und Konkurs Be- schwerde einreichen liess mit dem Begehren, die entsprechende Verfügung des Betreibungs- und Konkursamtes Landquart sei aufzuheben, – dass in der Begründung ausgeführt wurde weshalb aus Sicht des Beschwer- deführers keine Liberierungspflicht seinerseits bestehe, – dass das Betreibungs- und Konkursamt Landquart in seiner Vernehmlassung vom 20. Februar 2017 beantragte, auf die Beschwerde sei nicht einzutreten bzw. diese sei abzuweisen, – dass gemäss Art. 17 SchKG mit Ausnahme der Fälle, in denen dieses Gesetz den Weg der gerichtlichen Klage vorschreibt, gegen jede Verfügung eines Be- treibungs- oder eines Konkursamtes bei der Aufsichtsbehörde innert 10 Tagen wegen Gesetzesverletzung oder Unangemessenheit Beschwerde geführt werden kann, – dass die Beschwerde rechtzeitig eingereicht wurde, – dass gemäss ständiger bundesgerichtlicher Praxis das Erstellen des Inventars eine interne Massnahme der Konkursverwaltung ist, die keine Wirkung ge- genüber Drittpersonen entfaltet und die nicht endgültig über die Zugehörigkeit von Vermögenswerten zur Konkursmasse entscheidet,</w:t>
      </w:r>
    </w:p>
    <w:p>
      <w:r>
        <w:t>Seite 3 — 4 – dass deshalb zwar gegen die Weigerung der Konkursverwaltung, einen Ge- genstand in das Konkursinventar aufzunehmen, Beschwerde geführt werden kann, indessen nicht gegen die Aufnahme eines Vermögenswertes in das In- ventar (vgl. BGE 5A_53/2013 E.4.2; 5A_517/2012 E.1.2; Jolanta Kren Kostki- ewicz, SchKG-Kommentar Orell Füssli, 19. Auflage, Zürich 2016, N 4 ff. zu Art. 221 SchKG; Bauer, in: Bauer/Staehelin, Bundesgesetz über Schuldbetrei- bung und Konkurs, Ergänzungsband zur 2. Auflage, Basel 2017, N 34 zu Art. 221 SchKG; Lustenberger, in: Staehelin/Bauer/Staehelin, Bundesgesetz über Schuldbetreibung und Konkurs II, 2. Auflage, Basel 2010, N 33 f. zu Art. 221 SchKG), – dass somit gegen die Aufnahme der Ziffer 11 des Inventars betreffend das nicht einbezahlte Aktienkapital des Aktionärs X._____ keine Beschwerdemög- lichkeit besteht, so dass auf die Beschwerde nicht eingetreten werden kann, – dass gemäss Art. 20a Abs. 2 Ziff. 5 das Beschwerdeverfahren kostenlos ist, so dass die Kosten des Beschwerdeverfahrens beim Kanton Graubünden ver- bleiben, – dass dieser Entscheid in Anwendung von Art. 18 Abs. 3 GOG in einzelrichter- licher Kompetenz ergeht,</w:t>
      </w:r>
    </w:p>
    <w:p>
      <w:r>
        <w:t>Seite 4 — 4 entschieden: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