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53 vom 14. August 2014</w:t>
      </w:r>
    </w:p>
    <w:p>
      <w:r>
        <w:t>GR Gerichte, 2014-08-14, DE</w:t>
      </w:r>
    </w:p>
    <w:p>
      <w:r>
        <w:rPr>
          <w:b/>
        </w:rPr>
        <w:t xml:space="preserve">Quelle: </w:t>
      </w:r>
      <w:r>
        <w:t>https://mcp.opencaselaw.ch/entscheid/gr_gerichte_KSK_2014_53</w:t>
      </w:r>
    </w:p>
    <w:p>
      <w:r>
        <w:t>FR: GR_GERICHTE KSK 2014 53 du 14 août 2014</w:t>
      </w:r>
    </w:p>
    <w:p>
      <w:r>
        <w:t>IT: GR_GERICHTE KSK 2014 53 del 14 agosto 2014</w:t>
      </w:r>
    </w:p>
    <w:p>
      <w:pPr>
        <w:pStyle w:val="Heading2"/>
      </w:pPr>
      <w:r>
        <w:t>Regeste</w:t>
      </w:r>
    </w:p>
    <w:p>
      <w:r>
        <w:t>provisorische Rechtsöffnung | Rechtsöffnung</w:t>
      </w:r>
    </w:p>
    <w:p>
      <w:pPr>
        <w:pStyle w:val="Heading2"/>
      </w:pPr>
      <w:r>
        <w:t>Erwägungen</w:t>
      </w:r>
    </w:p>
    <w:p>
      <w:r>
        <w:rPr>
          <w:b/>
        </w:rPr>
        <w:t>E. 2</w:t>
      </w:r>
    </w:p>
    <w:p>
      <w:r>
        <w:t>Für den restlichen Betrag wird die Rechtsöffnung abgewiesen.</w:t>
      </w:r>
    </w:p>
    <w:p>
      <w:r>
        <w:rPr>
          <w:b/>
        </w:rPr>
        <w:t>E. 3</w:t>
      </w:r>
    </w:p>
    <w:p>
      <w:r>
        <w:t>Die Gerichtskosten werden auf CHF 300.00 festgesetzt. Sie werden den Par- teien je zur Hälfte auferlegt. Sie werden bei der gesuchstellenden Partei in Rechnung gestellt und mit dem von ihr geleisteten Gerichtskostenvorschuss von CHF 300.00 verrech- net und gelten gegenüber der Gerichtskasse als getilgt. Die zur Hälfte kostentragungspflichtige gesuchsgegnerische Partei hat der gesuchstellenden Partei den geleisteten Vorschuss im Umfang von CHF 150.00 zu ersetzen.</w:t>
      </w:r>
    </w:p>
    <w:p>
      <w:r>
        <w:rPr>
          <w:b/>
        </w:rPr>
        <w:t>E. 4</w:t>
      </w:r>
    </w:p>
    <w:p>
      <w:r>
        <w:t>Die gesuchstellende Partei hat die gesuchsgegnerische Partei für die anwalt- liche Vertretung mit CHF 240.00 zu entschädigen.</w:t>
      </w:r>
    </w:p>
    <w:p>
      <w:r>
        <w:rPr>
          <w:b/>
        </w:rPr>
        <w:t>E. 5</w:t>
      </w:r>
    </w:p>
    <w:p>
      <w:r>
        <w:t>(Rechtsmittelbelehrung)</w:t>
      </w:r>
    </w:p>
    <w:p>
      <w:r>
        <w:rPr>
          <w:b/>
        </w:rPr>
        <w:t>E. 6</w:t>
      </w:r>
    </w:p>
    <w:p>
      <w:r>
        <w:t>Zusammenfassend ist somit festzuhalten, dass der zwischen den Parteien abgeschlossene Mietvertrag vom 15. November 2010 als gültiger provisorischer Rechtsöffnungstitel im Sinne von Art. 82 Abs. 1 SchKG zu qualifizieren ist. Das Vorbringen des Beschwerdegegners betreffend die mangelhafte Erfüllung des Vertrages durch den Beschwerdeführer erweist sich als ungenügend substantiiert und vermag den Anforderungen an die Einrede der nicht gehörigen Erbringung der Gegenleistung bei zweiseitigen Verträgen nicht zu genügen. Schliesslich ist darauf hinzuweisen, dass der Mieter bei Mängeln während der Mietdauer nach Art. 259a ff. OR vorzugehen hat, was eine rechtzeitige Mängelrüge miteinschliesst. Der Be- schwerdegegner vermochte vorliegend nicht glaubhaft darzulegen, dass er die Mängelrüge rechtzeitig im Sinne der genannten Bestimmung erhoben hat; eine eigenständige Kürzung des Mietzinses ist darüber hinaus unzulässig. Die Vor-</w:t>
      </w:r>
    </w:p>
    <w:p>
      <w:r>
        <w:t>Seite 14 — 16 instanz hätte die Einwendung des Beschwerdegegners folglich als ungenügend substantiiert qualifizieren müssen. Die Beschwerde erweist sich somit insgesamt als begründet und ist gutzuheissen. Daher ist für den Betrag von CHF 9'105.25.-- nebst Zins zu 3% seit dem 1. April 2011 die provisorische Rechtsöffnung zu ertei- len. An dieser Stelle sei nochmals daran erinnert, dass es nicht die Aufgabe des Rechtsöffnungsrichters ist, den materiellen Bestand der Forderung zu beurteilen. Es bleibt daher dem Beschwerdegegner unbenommen, seinen Anspruch, mit wel- chem er im vorliegenden Verfahren nicht durchgedrungen ist, dem ordentlichen Richter in einem einlässlichen Zivilprozess zur Beurteilung zu unterbreiten.</w:t>
      </w:r>
    </w:p>
    <w:p>
      <w:r>
        <w:rPr>
          <w:b/>
        </w:rPr>
        <w:t>E. 7</w:t>
      </w:r>
    </w:p>
    <w:p>
      <w:r>
        <w:t>Der Rechtsvertreter des Beschwerdeführers rügt weiter, der Beschwerde- führer habe keine Möglichkeit gehabt, die Behauptungen des Beschwerdegegners bezüglich des geltend gemachten Mangels zu entkräften, was einer Verletzung des rechtlichen Gehörs gleichkomme. Die Stellungnahme des Beschwerdegeg- ners vom 16. Juni 2014 sei dem Beschwerdeführer mit einfachem Schreiben vom 17. Juni 2014 zur Kenntnisnahme zugestellt worden. Die Vorinstanz hätte aber wissen müssen, dass der im Gegensatz zum Beschwerdegegner nicht durch ei- nen patentierten Rechtsanwalt vertretene Beschwerdeführer aufgrund dieses Schreibens nicht nochmals eine Stellungnahme mit weiteren Beweismitteln einrei- chen würde. Die Vorinstanz hätte den Beschwerdeführer – auftretend als "Laien- partei" und somit ohne Rechtsvertretung – explizit auf sein Replikrecht aufmerk- sam machen müssen. Das Bundesgericht stellte wiederholt klar, dass der An- spruch auf rechtliches Gehör gestützt auf Art. 29 Abs. 2 der Bundesverfassung der Schweizerischen Eidgenossenschaft (BV; SR 101) das Recht umfasse, von jeder dem Gericht eingereichten Rechtsschrift Kenntnis zu nehmen und sich dazu äus- sern zu können, unabhängig davon, ob die entsprechende Rechtsschrift neue Tat- sachen oder Argumente enthalte und ob sie das Gericht tatsächlich zu beeinflus- sen vermögen. Das Replikrecht bestehe unabhängig davon, ob das Gericht einen weiteren Schriftenwechsel anordnete, eine Frist zur Stellungnahme ansetzte oder die Eingabe den Parteien lediglich zur Kenntnisnahme oder zur Orientierung zu- stellte (vgl. BGE 138 I 484). Das Replikrecht findet Geltung in sämtlichen Ge- richtsverfahren, so auch im summarischen Rechtsöffnungsverfahren (vgl. BGE 133 I 100 E. 4.6, S. 104; Urteil des Bundesgerichts 5A_42/2011 vom 21. März 2011 E. 2.2.1; Entscheid der Schuldbetreibungs- und Konkurskammer des Kan- tonsgerichts von Graubünden vom 4. Dezember 2012 KSK 12 77 E. 2.). Voraus- setzung für die Geltendmachung des Replikrechts ist, dass eine allfällige Stellung- nahme auf eine Eingabe unverzüglich nach deren Kenntnisnahme zu erfolgen hat, wobei die Einreichung einer Stellungnahme innert zehn Tagen grundsätzlich als</w:t>
      </w:r>
    </w:p>
    <w:p>
      <w:r>
        <w:t>Seite 15 — 16 unverzüglich gilt (vgl. BGE 133 I 100 E. 4.8; ZR 107 (2008) Nr. 22, S. 77 ff.). Vor- liegend stellte das Bezirksgericht Landquart mit Schreiben vom 17. Juni 2014 dem im vorinstanzlichen Verfahren nicht anwaltlich vertretenen Beschwerdeführer die Stellungnahme des Beschwerdegegners ausdrücklich zur Kenntnisnahme zu. In der Folge äusserte sich dieser bis zum Rechtsöffnungsentscheid vom 8. Juli 2014 nicht zu dieser Stellungnahme. An dieser Stelle kann jedoch offen gelassen wer- den, ob die Vorinstanz eine Gehörsverletzung begangen hat oder nicht. Ein allfäl- liger diesbezüglicher Mangel würde nämlich im vorliegenden Rechtsmittelverfah- ren ohnehin geheilt werden, da die Beschwerde gutgeheissen wird. 8.a) In Analogie zu Art. 318 Abs. 3 ZPO entscheidet die Beschwerdeinstanz über die Prozesskosten des erstinstanzlichen Verfahrens, wenn sie einen neuen Entscheid trifft (Freiburghaus/Afheldt, a.a.O., N 24 zu Art. 327 ZPO). Zu beachten sind dabei die allgemeinen Bestimmungen zum Kostenrecht (Art. 104 ff. ZPO). Entsprechend des Ausgangs des vorliegenden Verfahrens hat der Beschwerde- gegner die Kosten des Rechtsöffnungsverfahrens in Höhe von CHF 300.-- zu tra- gen (Art. 106 Abs. 1 ZPO). Ausseramtliche Entschädigungen sind nicht zu spre- chen, zumal der Beschwerdeführer anwaltlich (noch) nicht vertreten war und der Beschwerdegegner vollumfänglich unterliegt. b) Bei diesem Ausgang des Verfahrens wird der Beschwerdegegner überdies für das Beschwerdeverfahren kostenpflichtig (Art. 106 Abs. 1 ZPO). Die Gerichts- kosten für das Beschwerdeverfahren werden vorliegend in Anwendung von Art. 61 Abs. 1 in Verbindung mit Art. 48 der Gebührenverordnung zum Bundesgesetz über Schuldbetreibung und Konkurs (GebVSchKG; SR 281.35) auf CHF 400.-- festgelegt. Der Beschwerdegegner hat den Beschwerdeführer sodann für die im Beschwerdeverfahren entstandenen Auslagen und die Kosten der Rechtsvertre- tung zu entschädigen (Art. 106 Abs. 1 in Verbindung mit Art. 95 ZPO). Der von Rechtsanwalt lic. iur. Adrian Scarpatetti gemäss Honorarnote vom 24. Juli 2014 geltend gemachte Aufwand erscheint als angemessen, so dass die Entschädigung – wie in der Honorarnote geltend gemacht – auf CHF 1'905.10 (inkl. MWST und Spesen) festzusetzen ist (Art. 105 Abs. 2 ZPO).</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