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2012 7 vom 27. März 2012</w:t>
      </w:r>
    </w:p>
    <w:p>
      <w:r>
        <w:t>GR Gerichte, 2012-03-27, DE</w:t>
      </w:r>
    </w:p>
    <w:p>
      <w:r>
        <w:rPr>
          <w:b/>
        </w:rPr>
        <w:t xml:space="preserve">Quelle: </w:t>
      </w:r>
      <w:r>
        <w:t>https://mcp.opencaselaw.ch/entscheid/gr_gerichte_KSK_2012_7</w:t>
      </w:r>
    </w:p>
    <w:p>
      <w:r>
        <w:t>FR: GR_GERICHTE KSK 2012 7 du 27 mars 2012</w:t>
      </w:r>
    </w:p>
    <w:p>
      <w:r>
        <w:t>IT: GR_GERICHTE KSK 2012 7 del 27 marzo 2012</w:t>
      </w:r>
    </w:p>
    <w:p>
      <w:pPr>
        <w:pStyle w:val="Heading2"/>
      </w:pPr>
      <w:r>
        <w:t>Regeste</w:t>
      </w:r>
    </w:p>
    <w:p>
      <w:r>
        <w:t>definitive Rechtsöffnung | Rechtsöffnung</w:t>
      </w:r>
    </w:p>
    <w:p>
      <w:pPr>
        <w:pStyle w:val="Heading2"/>
      </w:pPr>
      <w:r>
        <w:t>Erwägungen</w:t>
      </w:r>
    </w:p>
    <w:p>
      <w:r>
        <w:rPr>
          <w:b/>
        </w:rPr>
        <w:t>E. 7</w:t>
      </w:r>
    </w:p>
    <w:p>
      <w:r>
        <w:t>Zusammenfassend ergibt sich, dass das Nachreichen der Urkunden im vor- liegenden Rechtsöffnungsverfahren zulässig und der Einzelrichter SchKG die Ur- kunden zu Recht berücksichtigt hat. Da sowohl die Voraussetzungen für die vor- frageweise Vollstreckbarerklärung als auch für die Rechtsöffnung vorlagen, hat der Einzelrichter SchKG die definitive Rechtsöffnung gestützt auf das Urteil des Landgerichts Hamburg vom 25. Juli 2011 zu Recht erteilt. Aus diesen Gründen ist der Rechtsöffnungsentscheid des Einzelrichters SchKG nicht aufzuheben und sind auch die Anträge auf Zurückweisung des Vollstreckbarkeitsgesuchs sowie des Rechtsöffnungsbegehrens abzuweisen.</w:t>
      </w:r>
    </w:p>
    <w:p>
      <w:r>
        <w:rPr>
          <w:b/>
        </w:rPr>
        <w:t>E. 8</w:t>
      </w:r>
    </w:p>
    <w:p>
      <w:r>
        <w:t>Bei diesem Ausgang des Verfahrens gehen die Kosten des Beschwerde- verfahrens in der Höhe von Fr. 700.– zu Lasten des Beschwerdeführers (Art. 106 Abs. 1 ZPO und Art. 48 i.V.m. Art. 61 Abs. 1 der Gebührenverordnung zum Bun- desgesetz über Schuldbetreibung und Konkurs [GebV SchKG; SR 281.35]). Der Beschwerdeführer hat der Beschwerdegegnerin zudem die im Beschwerdeverfah- ren entstandenen Auslagen und die Kosten der Rechtsvertretung zu ersetzen (Art. 106 Abs. 1 ZPO i.V.m. Art. 95 ZPO). Da der Rechtsvertreter der Beschwer- degegnerin keine Kostennote eingereicht hat, ist die Parteientschädigung nach Ermessen festzusetzen (Art. 105 Abs. 2 ZPO). Dabei erscheint eine Entschädi- gung in Höhe von Fr. 1'000.– (inkl. MWSt und Spesen) angemessen.</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