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2012 3 vom 21. Februar 2012</w:t>
      </w:r>
    </w:p>
    <w:p>
      <w:r>
        <w:t>GR Gerichte, 2012-02-21, DE</w:t>
      </w:r>
    </w:p>
    <w:p>
      <w:r>
        <w:rPr>
          <w:b/>
        </w:rPr>
        <w:t xml:space="preserve">Quelle: </w:t>
      </w:r>
      <w:r>
        <w:t>https://mcp.opencaselaw.ch/entscheid/gr_gerichte_KSK_2012_3</w:t>
      </w:r>
    </w:p>
    <w:p>
      <w:r>
        <w:t>FR: GR_GERICHTE KSK 2012 3 du 21 février 2012</w:t>
      </w:r>
    </w:p>
    <w:p>
      <w:r>
        <w:t>IT: GR_GERICHTE KSK 2012 3 del 21 febbraio 2012</w:t>
      </w:r>
    </w:p>
    <w:p>
      <w:pPr>
        <w:pStyle w:val="Heading2"/>
      </w:pPr>
      <w:r>
        <w:t>Regeste</w:t>
      </w:r>
    </w:p>
    <w:p>
      <w:r>
        <w:t>Pfändung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vorliegende Beschwerdeverfahren ist unentgeltlich (Art. 61 Abs. 2 lit. a der Gebührenverordnung zum Bundesgesetz über Schuldbetreibung und Konkurs</w:t>
      </w:r>
    </w:p>
    <w:p>
      <w:r>
        <w:t>Seite 7 — 8 [GebV SchKG; SR 281.35]), weshalb die Kosten in der Höhe von Fr. 1'000.– vom Kanton Graubünden zu tragen sind. Ebenso entfällt die Zusprechung einer aus- seramtlichen Entschädigung (Art. 62 Abs. 2 GebV SchKG).</w:t>
      </w:r>
    </w:p>
    <w:p>
      <w:r>
        <w:t>Seite 8 — 8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