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JK 2006 1 vom 12. Dezember 2006</w:t>
      </w:r>
    </w:p>
    <w:p>
      <w:r>
        <w:t>GR Gerichte, 2006-12-12, DE</w:t>
      </w:r>
    </w:p>
    <w:p>
      <w:r>
        <w:rPr>
          <w:b/>
        </w:rPr>
        <w:t xml:space="preserve">Quelle: </w:t>
      </w:r>
      <w:r>
        <w:t>https://mcp.opencaselaw.ch/entscheid/gr_gerichte_JK_2006_1</w:t>
      </w:r>
    </w:p>
    <w:p>
      <w:r>
        <w:t>FR: GR_GERICHTE JK 2006 1 du 12 décembre 2006</w:t>
      </w:r>
    </w:p>
    <w:p>
      <w:r>
        <w:t>IT: GR_GERICHTE JK 2006 1 del 12 dicembre 2006</w:t>
      </w:r>
    </w:p>
    <w:p>
      <w:pPr>
        <w:pStyle w:val="Heading2"/>
      </w:pPr>
      <w:r>
        <w:t>Regeste</w:t>
      </w:r>
    </w:p>
    <w:p>
      <w:r>
        <w:t>Brandstiftung | Urteil Jugendanwalt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Von einer zusätzlichen Bestrafung respektive Massnahme wird im Sinne von Art. 98 Abs. 2 StGB abgesehen, nachdem die erforderlichen Massnahmen bereits durch die Vormundschaftsbehörde angeordnet worden sind.</w:t>
      </w:r>
    </w:p>
    <w:p>
      <w:r>
        <w:rPr>
          <w:b/>
        </w:rPr>
        <w:t>E. 3</w:t>
      </w:r>
    </w:p>
    <w:p>
      <w:r>
        <w:t>Die Zivilforderung von Z., vertreten durch P., wird gestützt auf Art. 219 Abs. 5 StPO auf den Zivilweg verwiesen.</w:t>
      </w:r>
    </w:p>
    <w:p>
      <w:r>
        <w:rPr>
          <w:b/>
        </w:rPr>
        <w:t>E. 4</w:t>
      </w:r>
    </w:p>
    <w:p>
      <w:r>
        <w:t>X. trägt die Kosten des Entscheides im Betrage von Fr. 200.00.</w:t>
      </w:r>
    </w:p>
    <w:p>
      <w:r>
        <w:rPr>
          <w:b/>
        </w:rPr>
        <w:t>E. 5</w:t>
      </w:r>
    </w:p>
    <w:p>
      <w:r>
        <w:t>(Rechtsmittelbelehrung).</w:t>
      </w:r>
    </w:p>
    <w:p>
      <w:r>
        <w:rPr>
          <w:b/>
        </w:rPr>
        <w:t>E. 6</w:t>
      </w:r>
    </w:p>
    <w:p>
      <w:r>
        <w:t>Demnach erkennt das Kantonsgerichtspräsidium: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